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993"/>
        </w:tabs>
        <w:overflowPunct w:val="0"/>
        <w:spacing w:before="312" w:beforeLines="100" w:after="312" w:afterLines="100" w:line="360" w:lineRule="auto"/>
        <w:ind w:firstLine="0" w:firstLineChars="0"/>
        <w:jc w:val="center"/>
        <w:rPr>
          <w:rFonts w:ascii="Times New Roman" w:hAnsi="Times New Roman" w:eastAsia="黑体"/>
          <w:bCs/>
          <w:sz w:val="36"/>
          <w:szCs w:val="36"/>
        </w:rPr>
      </w:pPr>
      <w:r>
        <w:rPr>
          <w:rFonts w:ascii="Times New Roman" w:hAnsi="Times New Roman" w:eastAsia="黑体"/>
          <w:bCs/>
          <w:sz w:val="36"/>
          <w:szCs w:val="36"/>
          <w:u w:val="single"/>
        </w:rPr>
        <w:t xml:space="preserve"> 法学 </w:t>
      </w:r>
      <w:r>
        <w:rPr>
          <w:rFonts w:ascii="Times New Roman" w:hAnsi="Times New Roman" w:eastAsia="黑体"/>
          <w:bCs/>
          <w:sz w:val="36"/>
          <w:szCs w:val="36"/>
        </w:rPr>
        <w:t>专业培养方案</w:t>
      </w:r>
    </w:p>
    <w:p>
      <w:pPr>
        <w:overflowPunct w:val="0"/>
        <w:spacing w:line="360" w:lineRule="auto"/>
        <w:jc w:val="center"/>
        <w:rPr>
          <w:rFonts w:ascii="Times New Roman" w:hAnsi="Times New Roman"/>
          <w:b/>
          <w:sz w:val="24"/>
          <w:szCs w:val="24"/>
        </w:rPr>
      </w:pPr>
      <w:r>
        <w:rPr>
          <w:rFonts w:ascii="Times New Roman" w:hAnsi="Times New Roman"/>
          <w:b/>
          <w:sz w:val="24"/>
          <w:szCs w:val="24"/>
        </w:rPr>
        <w:t>专业代码：</w:t>
      </w:r>
      <w:r>
        <w:rPr>
          <w:rFonts w:ascii="Times New Roman" w:hAnsi="Times New Roman"/>
          <w:b/>
          <w:sz w:val="24"/>
          <w:szCs w:val="24"/>
          <w:u w:val="single"/>
        </w:rPr>
        <w:t>030101K</w:t>
      </w:r>
      <w:r>
        <w:rPr>
          <w:rFonts w:ascii="Times New Roman" w:hAnsi="Times New Roman"/>
          <w:b/>
          <w:sz w:val="24"/>
          <w:szCs w:val="24"/>
        </w:rPr>
        <w:t xml:space="preserve">     </w:t>
      </w:r>
      <w:r>
        <w:rPr>
          <w:rFonts w:ascii="Times New Roman" w:hAnsi="Times New Roman"/>
          <w:b/>
          <w:sz w:val="24"/>
          <w:szCs w:val="24"/>
          <w:u w:val="single"/>
        </w:rPr>
        <w:t xml:space="preserve"> 2023-2026</w:t>
      </w:r>
      <w:r>
        <w:rPr>
          <w:rFonts w:ascii="Times New Roman" w:hAnsi="Times New Roman"/>
          <w:b/>
          <w:sz w:val="24"/>
          <w:szCs w:val="24"/>
        </w:rPr>
        <w:t xml:space="preserve">年入学适用      </w:t>
      </w:r>
      <w:r>
        <w:rPr>
          <w:rFonts w:ascii="Times New Roman" w:hAnsi="Times New Roman"/>
          <w:b/>
          <w:sz w:val="24"/>
          <w:szCs w:val="24"/>
          <w:u w:val="single"/>
        </w:rPr>
        <w:t xml:space="preserve"> 四 </w:t>
      </w:r>
      <w:r>
        <w:rPr>
          <w:rFonts w:ascii="Times New Roman" w:hAnsi="Times New Roman"/>
          <w:b/>
          <w:sz w:val="24"/>
          <w:szCs w:val="24"/>
        </w:rPr>
        <w:t>年制本科生</w:t>
      </w:r>
    </w:p>
    <w:p>
      <w:pPr>
        <w:overflowPunct w:val="0"/>
        <w:spacing w:line="360" w:lineRule="auto"/>
        <w:ind w:firstLine="482" w:firstLineChars="200"/>
        <w:rPr>
          <w:rFonts w:ascii="Times New Roman" w:hAnsi="Times New Roman"/>
          <w:b/>
          <w:sz w:val="24"/>
          <w:szCs w:val="24"/>
        </w:rPr>
      </w:pPr>
      <w:r>
        <w:rPr>
          <w:rFonts w:ascii="Times New Roman" w:hAnsi="Times New Roman"/>
          <w:b/>
          <w:sz w:val="24"/>
          <w:szCs w:val="24"/>
        </w:rPr>
        <w:t xml:space="preserve">                  </w:t>
      </w:r>
    </w:p>
    <w:p>
      <w:pPr>
        <w:pStyle w:val="9"/>
        <w:tabs>
          <w:tab w:val="left" w:pos="993"/>
        </w:tabs>
        <w:overflowPunct w:val="0"/>
        <w:spacing w:line="360" w:lineRule="auto"/>
        <w:ind w:firstLine="0" w:firstLineChars="0"/>
        <w:rPr>
          <w:rFonts w:ascii="Times New Roman" w:hAnsi="Times New Roman"/>
          <w:b/>
          <w:sz w:val="24"/>
          <w:szCs w:val="24"/>
        </w:rPr>
      </w:pPr>
      <w:r>
        <w:rPr>
          <w:rFonts w:ascii="Times New Roman" w:hAnsi="Times New Roman"/>
          <w:b/>
          <w:sz w:val="24"/>
          <w:szCs w:val="24"/>
        </w:rPr>
        <w:t>一、培养目标</w:t>
      </w:r>
    </w:p>
    <w:p>
      <w:pPr>
        <w:pStyle w:val="3"/>
        <w:snapToGrid w:val="0"/>
        <w:spacing w:line="360" w:lineRule="auto"/>
        <w:ind w:left="0" w:leftChars="0" w:firstLine="480" w:firstLineChars="200"/>
        <w:rPr>
          <w:rFonts w:ascii="Times New Roman" w:hAnsi="Times New Roman"/>
          <w:kern w:val="0"/>
          <w:sz w:val="24"/>
          <w:szCs w:val="24"/>
        </w:rPr>
      </w:pPr>
      <w:r>
        <w:rPr>
          <w:rFonts w:ascii="Times New Roman" w:hAnsi="Times New Roman"/>
          <w:kern w:val="0"/>
          <w:sz w:val="24"/>
          <w:szCs w:val="24"/>
        </w:rPr>
        <w:t>法学专业坚持以习近平法治思想为根本遵循，全面推进习近平法治思想进教材、进课堂、进头脑，通过优化课程体系，加强知识教学和实践教学的结合，坚持立德树人、德法兼修，重点提升学生的法律职业道德和法律实务技能，切实增强学生的法学专业理论基础与法律职业能力，培养造就具有坚定理想信念、强烈家国情怀、扎实法学根底的法治人才，培养造就研究型、复合型、创新型、国际化的高素质法治人才。</w:t>
      </w:r>
    </w:p>
    <w:p>
      <w:pPr>
        <w:pStyle w:val="9"/>
        <w:numPr>
          <w:ilvl w:val="0"/>
          <w:numId w:val="1"/>
        </w:numPr>
        <w:tabs>
          <w:tab w:val="left" w:pos="993"/>
        </w:tabs>
        <w:overflowPunct w:val="0"/>
        <w:spacing w:line="360" w:lineRule="auto"/>
        <w:ind w:firstLine="0" w:firstLineChars="0"/>
        <w:rPr>
          <w:rFonts w:ascii="Times New Roman" w:hAnsi="Times New Roman"/>
          <w:b/>
          <w:sz w:val="24"/>
          <w:szCs w:val="24"/>
        </w:rPr>
      </w:pPr>
      <w:r>
        <w:rPr>
          <w:rFonts w:ascii="Times New Roman" w:hAnsi="Times New Roman"/>
          <w:b/>
          <w:sz w:val="24"/>
          <w:szCs w:val="24"/>
        </w:rPr>
        <w:t>毕业要求</w:t>
      </w:r>
    </w:p>
    <w:p>
      <w:pPr>
        <w:overflowPunct w:val="0"/>
        <w:spacing w:line="360" w:lineRule="auto"/>
        <w:ind w:firstLine="480" w:firstLineChars="200"/>
        <w:rPr>
          <w:rFonts w:ascii="Times New Roman" w:hAnsi="Times New Roman"/>
          <w:sz w:val="24"/>
          <w:szCs w:val="24"/>
        </w:rPr>
      </w:pPr>
      <w:r>
        <w:rPr>
          <w:rFonts w:ascii="Times New Roman" w:hAnsi="Times New Roman"/>
          <w:sz w:val="24"/>
          <w:szCs w:val="24"/>
        </w:rPr>
        <w:t>1.毕业通用能力要求：</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（1）社会责任感和奉献精神；</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（2）辩证思考、分析问题、解决问题的商业思维能力；</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（3）具有一定的经济学、管理学的商业管理能力；</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（4）具有写作技能、口头表达能力；</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（5）具有领导和组织的能力；</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（6）具有艺术修养和人文素养；</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（7）创新精神、实践能力、创造力；</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（8）较好的沟通合作、人际交往能力；</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（9）数字技术应用能力；</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（10）数字素养；</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（11）批判性思维；</w:t>
      </w:r>
    </w:p>
    <w:p>
      <w:pPr>
        <w:pStyle w:val="9"/>
        <w:overflowPunct w:val="0"/>
        <w:spacing w:line="360" w:lineRule="auto"/>
        <w:ind w:left="480" w:firstLine="0" w:firstLineChars="0"/>
        <w:rPr>
          <w:rFonts w:ascii="Times New Roman" w:hAnsi="Times New Roman"/>
          <w:sz w:val="24"/>
          <w:szCs w:val="24"/>
        </w:rPr>
      </w:pPr>
      <w:r>
        <w:rPr>
          <w:rFonts w:ascii="Times New Roman" w:hAnsi="Times New Roman"/>
          <w:sz w:val="24"/>
          <w:szCs w:val="24"/>
        </w:rPr>
        <w:t>（12）未来的胜任力；</w:t>
      </w:r>
    </w:p>
    <w:p>
      <w:pPr>
        <w:pStyle w:val="9"/>
        <w:tabs>
          <w:tab w:val="left" w:pos="1418"/>
        </w:tabs>
        <w:overflowPunct w:val="0"/>
        <w:spacing w:line="360" w:lineRule="auto"/>
        <w:ind w:left="480" w:firstLine="0" w:firstLineChars="0"/>
        <w:rPr>
          <w:rFonts w:ascii="Times New Roman" w:hAnsi="Times New Roman"/>
          <w:sz w:val="24"/>
          <w:szCs w:val="24"/>
        </w:rPr>
      </w:pPr>
      <w:r>
        <w:rPr>
          <w:rFonts w:ascii="Times New Roman" w:hAnsi="Times New Roman"/>
          <w:sz w:val="24"/>
          <w:szCs w:val="24"/>
        </w:rPr>
        <w:t>（13）终身学习的能力。</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2.法学专业毕业生总体能力要求：</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法学专业坚持以学生发展为本，以学习成果为导向，坚持将价值塑造、知识传授和能力培养融为一体，全面推进课程思政建设。本专业以拓展学生的知识面、夯实法律专业基础知识、增强学生解决法律问题的能力和对未来法律职业的适应性为主要方向，培养适应不同法律职业岗位的卓越法治人才。学生毕业时，应当具有以下几方面的知识和能力：</w:t>
      </w:r>
    </w:p>
    <w:p>
      <w:pPr>
        <w:snapToGrid w:val="0"/>
        <w:spacing w:line="360" w:lineRule="auto"/>
        <w:ind w:firstLine="480" w:firstLineChars="200"/>
        <w:rPr>
          <w:rFonts w:ascii="Times New Roman" w:hAnsi="Times New Roman"/>
          <w:sz w:val="24"/>
          <w:szCs w:val="24"/>
        </w:rPr>
      </w:pPr>
      <w:r>
        <w:rPr>
          <w:rFonts w:ascii="Times New Roman" w:hAnsi="Times New Roman"/>
          <w:sz w:val="24"/>
          <w:szCs w:val="24"/>
        </w:rPr>
        <w:t>（1）热爱社会主义祖国，拥护中国共产党的领导，坚守社会主义法治理念，牢固树立正确的世界观、人生观、价值观；具备健全的心理和健康的体魄，养成良好的道德品格、健全的职业人格、强烈的法律职业认同感，具有服务于建设社会主义法治国家的责任感和使命感。</w:t>
      </w:r>
    </w:p>
    <w:p>
      <w:pPr>
        <w:snapToGrid w:val="0"/>
        <w:spacing w:line="360" w:lineRule="auto"/>
        <w:ind w:firstLine="360" w:firstLineChars="150"/>
        <w:rPr>
          <w:rFonts w:ascii="Times New Roman" w:hAnsi="Times New Roman"/>
          <w:sz w:val="24"/>
          <w:szCs w:val="24"/>
        </w:rPr>
      </w:pPr>
      <w:r>
        <w:rPr>
          <w:rFonts w:ascii="Times New Roman" w:hAnsi="Times New Roman"/>
          <w:sz w:val="24"/>
          <w:szCs w:val="24"/>
        </w:rPr>
        <w:t>（2）掌握法学各学科的基本理论和基本知识；熟悉我国基本的法律、法规和有关政策；了解各类诉讼程序及非诉争端解决机制。</w:t>
      </w:r>
    </w:p>
    <w:p>
      <w:pPr>
        <w:snapToGrid w:val="0"/>
        <w:spacing w:line="360" w:lineRule="auto"/>
        <w:ind w:firstLine="360" w:firstLineChars="150"/>
        <w:rPr>
          <w:rFonts w:ascii="Times New Roman" w:hAnsi="Times New Roman"/>
          <w:sz w:val="24"/>
          <w:szCs w:val="24"/>
        </w:rPr>
      </w:pPr>
      <w:r>
        <w:rPr>
          <w:rFonts w:ascii="Times New Roman" w:hAnsi="Times New Roman"/>
          <w:sz w:val="24"/>
          <w:szCs w:val="24"/>
        </w:rPr>
        <w:t>（3）具备独立自主地获取和更新法学专业相关知识的学习能力和方法；具备将所学的法学理论知识融会贯通，分析处理法律事务、解决法律纠纷的能力。</w:t>
      </w:r>
    </w:p>
    <w:p>
      <w:pPr>
        <w:widowControl/>
        <w:shd w:val="clear" w:color="auto" w:fill="FFFFFF"/>
        <w:spacing w:line="360" w:lineRule="auto"/>
        <w:ind w:firstLine="360" w:firstLineChars="150"/>
        <w:jc w:val="left"/>
        <w:rPr>
          <w:rFonts w:ascii="Times New Roman" w:hAnsi="Times New Roman"/>
          <w:sz w:val="24"/>
          <w:szCs w:val="24"/>
        </w:rPr>
      </w:pPr>
      <w:r>
        <w:rPr>
          <w:rFonts w:ascii="Times New Roman" w:hAnsi="Times New Roman"/>
          <w:sz w:val="24"/>
          <w:szCs w:val="24"/>
        </w:rPr>
        <w:t>（4）具有较强的逻辑思辨能力、法律写作能力和独立陈述能力；具备利用创造性思维方法开展科学研究和在法律实务部门实际工作的能力；</w:t>
      </w:r>
    </w:p>
    <w:p>
      <w:pPr>
        <w:widowControl/>
        <w:shd w:val="clear" w:color="auto" w:fill="FFFFFF"/>
        <w:spacing w:line="360" w:lineRule="auto"/>
        <w:ind w:firstLine="360" w:firstLineChars="150"/>
        <w:jc w:val="left"/>
        <w:rPr>
          <w:rFonts w:ascii="Times New Roman" w:hAnsi="Times New Roman"/>
          <w:sz w:val="24"/>
          <w:szCs w:val="24"/>
        </w:rPr>
      </w:pPr>
      <w:r>
        <w:rPr>
          <w:rFonts w:ascii="Times New Roman" w:hAnsi="Times New Roman"/>
          <w:sz w:val="24"/>
          <w:szCs w:val="24"/>
        </w:rPr>
        <w:t>（5）具有较强的数字法治素养、数字法治思维、数字法治认知，能较为全面掌握和娴熟运用数字法律知识，深刻理解和驾驭数字社会发展逻辑，具有专业性、系统性的数字法治能力。</w:t>
      </w:r>
    </w:p>
    <w:p>
      <w:pPr>
        <w:widowControl/>
        <w:shd w:val="clear" w:color="auto" w:fill="FFFFFF"/>
        <w:spacing w:line="360" w:lineRule="auto"/>
        <w:ind w:firstLine="360" w:firstLineChars="150"/>
        <w:jc w:val="left"/>
        <w:rPr>
          <w:rFonts w:ascii="Times New Roman" w:hAnsi="Times New Roman"/>
          <w:sz w:val="24"/>
          <w:szCs w:val="24"/>
        </w:rPr>
      </w:pPr>
      <w:r>
        <w:rPr>
          <w:rFonts w:ascii="Times New Roman" w:hAnsi="Times New Roman"/>
          <w:sz w:val="24"/>
          <w:szCs w:val="24"/>
        </w:rPr>
        <w:t>（6）熟练掌握一门外语，具备较高的计算机文字信息处理能力和良好的人际沟通及交往能力。</w:t>
      </w:r>
    </w:p>
    <w:p>
      <w:pPr>
        <w:widowControl/>
        <w:shd w:val="clear" w:color="auto" w:fill="FFFFFF"/>
        <w:spacing w:line="360" w:lineRule="auto"/>
        <w:ind w:firstLine="360" w:firstLineChars="150"/>
        <w:jc w:val="left"/>
        <w:rPr>
          <w:rFonts w:ascii="Times New Roman" w:hAnsi="Times New Roman"/>
          <w:sz w:val="24"/>
          <w:szCs w:val="24"/>
        </w:rPr>
      </w:pPr>
      <w:r>
        <w:rPr>
          <w:rFonts w:ascii="Times New Roman" w:hAnsi="Times New Roman"/>
          <w:sz w:val="24"/>
          <w:szCs w:val="24"/>
        </w:rPr>
        <w:t>3.各方向毕业具体能力要求：</w:t>
      </w:r>
    </w:p>
    <w:p>
      <w:pPr>
        <w:pStyle w:val="2"/>
        <w:snapToGrid w:val="0"/>
        <w:spacing w:line="360" w:lineRule="auto"/>
        <w:ind w:left="525"/>
        <w:rPr>
          <w:rFonts w:ascii="Times New Roman" w:hAnsi="Times New Roman" w:cs="Times New Roman"/>
          <w:b/>
          <w:bCs/>
          <w:sz w:val="24"/>
          <w:szCs w:val="24"/>
        </w:rPr>
      </w:pPr>
      <w:r>
        <w:rPr>
          <w:rFonts w:ascii="Times New Roman" w:hAnsi="Times New Roman" w:cs="Times New Roman"/>
          <w:b/>
          <w:bCs/>
          <w:sz w:val="24"/>
          <w:szCs w:val="24"/>
        </w:rPr>
        <w:t>（1）涉外法务方向</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①</w:t>
      </w:r>
      <w:r>
        <w:rPr>
          <w:rFonts w:ascii="Times New Roman" w:hAnsi="Times New Roman" w:cs="Times New Roman"/>
          <w:kern w:val="0"/>
          <w:sz w:val="24"/>
          <w:szCs w:val="24"/>
          <w:lang w:val="zh-CN"/>
        </w:rPr>
        <w:t>谈判和制定国际规则的能力</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②</w:t>
      </w:r>
      <w:r>
        <w:rPr>
          <w:rFonts w:ascii="Times New Roman" w:hAnsi="Times New Roman" w:cs="Times New Roman"/>
          <w:kern w:val="0"/>
          <w:sz w:val="24"/>
          <w:szCs w:val="24"/>
          <w:lang w:val="zh-CN"/>
        </w:rPr>
        <w:t>保护国家和国民利益的能力</w:t>
      </w:r>
    </w:p>
    <w:p>
      <w:pPr>
        <w:pStyle w:val="2"/>
        <w:snapToGrid w:val="0"/>
        <w:spacing w:line="360" w:lineRule="auto"/>
        <w:ind w:firstLine="480"/>
        <w:rPr>
          <w:rFonts w:ascii="Times New Roman" w:hAnsi="Times New Roman" w:cs="Times New Roman"/>
          <w:sz w:val="24"/>
          <w:szCs w:val="24"/>
        </w:rPr>
      </w:pPr>
      <w:r>
        <w:rPr>
          <w:rFonts w:hint="eastAsia" w:hAnsi="宋体"/>
          <w:sz w:val="24"/>
          <w:szCs w:val="24"/>
        </w:rPr>
        <w:t>③</w:t>
      </w:r>
      <w:r>
        <w:rPr>
          <w:rFonts w:ascii="Times New Roman" w:hAnsi="Times New Roman" w:cs="Times New Roman"/>
          <w:kern w:val="0"/>
          <w:sz w:val="24"/>
          <w:szCs w:val="24"/>
          <w:lang w:val="zh-CN"/>
        </w:rPr>
        <w:t>解决贸易和经济争端的能力</w:t>
      </w:r>
    </w:p>
    <w:p>
      <w:pPr>
        <w:pStyle w:val="2"/>
        <w:snapToGrid w:val="0"/>
        <w:spacing w:line="360" w:lineRule="auto"/>
        <w:ind w:firstLine="480"/>
        <w:rPr>
          <w:rFonts w:ascii="Times New Roman" w:hAnsi="Times New Roman" w:cs="Times New Roman"/>
          <w:sz w:val="24"/>
          <w:szCs w:val="24"/>
        </w:rPr>
      </w:pPr>
      <w:r>
        <w:rPr>
          <w:rFonts w:hint="eastAsia" w:hAnsi="宋体"/>
          <w:sz w:val="24"/>
          <w:szCs w:val="24"/>
        </w:rPr>
        <w:t>④</w:t>
      </w:r>
      <w:r>
        <w:rPr>
          <w:rFonts w:ascii="Times New Roman" w:hAnsi="Times New Roman" w:cs="Times New Roman"/>
          <w:kern w:val="0"/>
          <w:sz w:val="24"/>
          <w:szCs w:val="24"/>
          <w:lang w:val="zh-CN"/>
        </w:rPr>
        <w:t>处理法律适用和冲突的能力</w:t>
      </w:r>
    </w:p>
    <w:p>
      <w:pPr>
        <w:pStyle w:val="2"/>
        <w:snapToGrid w:val="0"/>
        <w:spacing w:line="360" w:lineRule="auto"/>
        <w:ind w:firstLine="482" w:firstLineChars="200"/>
        <w:jc w:val="left"/>
        <w:rPr>
          <w:rFonts w:ascii="Times New Roman" w:hAnsi="Times New Roman" w:cs="Times New Roman"/>
          <w:b/>
          <w:bCs/>
          <w:sz w:val="24"/>
          <w:szCs w:val="24"/>
        </w:rPr>
      </w:pPr>
      <w:r>
        <w:rPr>
          <w:rFonts w:ascii="Times New Roman" w:hAnsi="Times New Roman" w:cs="Times New Roman"/>
          <w:b/>
          <w:bCs/>
          <w:sz w:val="24"/>
          <w:szCs w:val="24"/>
        </w:rPr>
        <w:t>（2）司法实务方向</w:t>
      </w:r>
    </w:p>
    <w:p>
      <w:pPr>
        <w:pStyle w:val="2"/>
        <w:tabs>
          <w:tab w:val="left" w:pos="993"/>
        </w:tabs>
        <w:snapToGrid w:val="0"/>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1 \* GB3 </w:instrText>
      </w:r>
      <w:r>
        <w:rPr>
          <w:rFonts w:ascii="Times New Roman" w:hAnsi="Times New Roman" w:cs="Times New Roman"/>
          <w:sz w:val="24"/>
          <w:szCs w:val="24"/>
        </w:rPr>
        <w:fldChar w:fldCharType="separate"/>
      </w:r>
      <w:r>
        <w:rPr>
          <w:rFonts w:hint="eastAsia" w:hAnsi="宋体"/>
          <w:sz w:val="24"/>
          <w:szCs w:val="24"/>
        </w:rPr>
        <w:t>①</w:t>
      </w:r>
      <w:r>
        <w:rPr>
          <w:rFonts w:ascii="Times New Roman" w:hAnsi="Times New Roman" w:cs="Times New Roman"/>
          <w:sz w:val="24"/>
          <w:szCs w:val="24"/>
        </w:rPr>
        <w:fldChar w:fldCharType="end"/>
      </w:r>
      <w:r>
        <w:rPr>
          <w:rFonts w:ascii="Times New Roman" w:hAnsi="Times New Roman" w:cs="Times New Roman"/>
          <w:sz w:val="24"/>
          <w:szCs w:val="24"/>
        </w:rPr>
        <w:t>适用实体法律法规的能力</w:t>
      </w:r>
    </w:p>
    <w:p>
      <w:pPr>
        <w:pStyle w:val="2"/>
        <w:tabs>
          <w:tab w:val="left" w:pos="993"/>
        </w:tabs>
        <w:snapToGrid w:val="0"/>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2 \* GB3 </w:instrText>
      </w:r>
      <w:r>
        <w:rPr>
          <w:rFonts w:ascii="Times New Roman" w:hAnsi="Times New Roman" w:cs="Times New Roman"/>
          <w:sz w:val="24"/>
          <w:szCs w:val="24"/>
        </w:rPr>
        <w:fldChar w:fldCharType="separate"/>
      </w:r>
      <w:r>
        <w:rPr>
          <w:rFonts w:hint="eastAsia" w:hAnsi="宋体"/>
          <w:sz w:val="24"/>
          <w:szCs w:val="24"/>
        </w:rPr>
        <w:t>②</w:t>
      </w:r>
      <w:r>
        <w:rPr>
          <w:rFonts w:ascii="Times New Roman" w:hAnsi="Times New Roman" w:cs="Times New Roman"/>
          <w:sz w:val="24"/>
          <w:szCs w:val="24"/>
        </w:rPr>
        <w:fldChar w:fldCharType="end"/>
      </w:r>
      <w:r>
        <w:rPr>
          <w:rFonts w:ascii="Times New Roman" w:hAnsi="Times New Roman" w:cs="Times New Roman"/>
          <w:sz w:val="24"/>
          <w:szCs w:val="24"/>
        </w:rPr>
        <w:t>掌握司法诉讼程序的能力</w:t>
      </w:r>
    </w:p>
    <w:p>
      <w:pPr>
        <w:pStyle w:val="2"/>
        <w:tabs>
          <w:tab w:val="left" w:pos="993"/>
        </w:tabs>
        <w:snapToGrid w:val="0"/>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3 \* GB3 </w:instrText>
      </w:r>
      <w:r>
        <w:rPr>
          <w:rFonts w:ascii="Times New Roman" w:hAnsi="Times New Roman" w:cs="Times New Roman"/>
          <w:sz w:val="24"/>
          <w:szCs w:val="24"/>
        </w:rPr>
        <w:fldChar w:fldCharType="separate"/>
      </w:r>
      <w:r>
        <w:rPr>
          <w:rFonts w:hint="eastAsia" w:hAnsi="宋体"/>
          <w:sz w:val="24"/>
          <w:szCs w:val="24"/>
        </w:rPr>
        <w:t>③</w:t>
      </w:r>
      <w:r>
        <w:rPr>
          <w:rFonts w:ascii="Times New Roman" w:hAnsi="Times New Roman" w:cs="Times New Roman"/>
          <w:sz w:val="24"/>
          <w:szCs w:val="24"/>
        </w:rPr>
        <w:fldChar w:fldCharType="end"/>
      </w:r>
      <w:r>
        <w:rPr>
          <w:rFonts w:ascii="Times New Roman" w:hAnsi="Times New Roman" w:cs="Times New Roman"/>
          <w:sz w:val="24"/>
          <w:szCs w:val="24"/>
        </w:rPr>
        <w:t>合同签订与风险防范能力</w:t>
      </w:r>
    </w:p>
    <w:p>
      <w:pPr>
        <w:pStyle w:val="2"/>
        <w:snapToGrid w:val="0"/>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4 \* GB3 </w:instrText>
      </w:r>
      <w:r>
        <w:rPr>
          <w:rFonts w:ascii="Times New Roman" w:hAnsi="Times New Roman" w:cs="Times New Roman"/>
          <w:sz w:val="24"/>
          <w:szCs w:val="24"/>
        </w:rPr>
        <w:fldChar w:fldCharType="separate"/>
      </w:r>
      <w:r>
        <w:rPr>
          <w:rFonts w:hint="eastAsia" w:hAnsi="宋体"/>
          <w:sz w:val="24"/>
          <w:szCs w:val="24"/>
        </w:rPr>
        <w:t>④</w:t>
      </w:r>
      <w:r>
        <w:rPr>
          <w:rFonts w:ascii="Times New Roman" w:hAnsi="Times New Roman" w:cs="Times New Roman"/>
          <w:sz w:val="24"/>
          <w:szCs w:val="24"/>
        </w:rPr>
        <w:fldChar w:fldCharType="end"/>
      </w:r>
      <w:r>
        <w:rPr>
          <w:rFonts w:ascii="Times New Roman" w:hAnsi="Times New Roman" w:cs="Times New Roman"/>
          <w:sz w:val="24"/>
          <w:szCs w:val="24"/>
        </w:rPr>
        <w:t>掌握律师办案技巧的能力</w:t>
      </w:r>
    </w:p>
    <w:p>
      <w:pPr>
        <w:pStyle w:val="2"/>
        <w:snapToGrid w:val="0"/>
        <w:spacing w:line="360" w:lineRule="auto"/>
        <w:ind w:firstLine="475" w:firstLineChars="197"/>
        <w:rPr>
          <w:rFonts w:ascii="Times New Roman" w:hAnsi="Times New Roman" w:cs="Times New Roman"/>
          <w:b/>
          <w:bCs/>
          <w:sz w:val="24"/>
          <w:szCs w:val="24"/>
        </w:rPr>
      </w:pPr>
      <w:r>
        <w:rPr>
          <w:rFonts w:ascii="Times New Roman" w:hAnsi="Times New Roman" w:cs="Times New Roman"/>
          <w:b/>
          <w:bCs/>
          <w:sz w:val="24"/>
          <w:szCs w:val="24"/>
        </w:rPr>
        <w:t>（3）公司法务方向</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①</w:t>
      </w:r>
      <w:r>
        <w:rPr>
          <w:rFonts w:ascii="Times New Roman" w:hAnsi="Times New Roman" w:cs="Times New Roman"/>
          <w:sz w:val="24"/>
          <w:szCs w:val="24"/>
        </w:rPr>
        <w:t>公司治理的法律运用能力</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②</w:t>
      </w:r>
      <w:r>
        <w:rPr>
          <w:rFonts w:ascii="Times New Roman" w:hAnsi="Times New Roman" w:cs="Times New Roman"/>
          <w:sz w:val="24"/>
          <w:szCs w:val="24"/>
        </w:rPr>
        <w:t>市场经济的法律运用能力</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③</w:t>
      </w:r>
      <w:r>
        <w:rPr>
          <w:rFonts w:ascii="Times New Roman" w:hAnsi="Times New Roman" w:cs="Times New Roman"/>
          <w:sz w:val="24"/>
          <w:szCs w:val="24"/>
        </w:rPr>
        <w:t>金融业务的法律运用能力</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④</w:t>
      </w:r>
      <w:r>
        <w:rPr>
          <w:rFonts w:ascii="Times New Roman" w:hAnsi="Times New Roman" w:cs="Times New Roman"/>
          <w:sz w:val="24"/>
          <w:szCs w:val="24"/>
        </w:rPr>
        <w:t>起草审查法律文书的能力</w:t>
      </w:r>
    </w:p>
    <w:p>
      <w:pPr>
        <w:pStyle w:val="2"/>
        <w:snapToGrid w:val="0"/>
        <w:spacing w:line="360" w:lineRule="auto"/>
        <w:ind w:firstLine="475" w:firstLineChars="197"/>
        <w:rPr>
          <w:rFonts w:ascii="Times New Roman" w:hAnsi="Times New Roman" w:cs="Times New Roman"/>
          <w:b/>
          <w:bCs/>
          <w:sz w:val="24"/>
          <w:szCs w:val="24"/>
        </w:rPr>
      </w:pPr>
      <w:r>
        <w:rPr>
          <w:rFonts w:ascii="Times New Roman" w:hAnsi="Times New Roman" w:cs="Times New Roman"/>
          <w:b/>
          <w:bCs/>
          <w:sz w:val="24"/>
          <w:szCs w:val="24"/>
        </w:rPr>
        <w:t>（4）数字法学方向</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①</w:t>
      </w:r>
      <w:r>
        <w:rPr>
          <w:rFonts w:ascii="Times New Roman" w:hAnsi="Times New Roman" w:cs="Times New Roman"/>
          <w:sz w:val="24"/>
          <w:szCs w:val="24"/>
        </w:rPr>
        <w:t>数字法治学习能力</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②</w:t>
      </w:r>
      <w:r>
        <w:rPr>
          <w:rFonts w:ascii="Times New Roman" w:hAnsi="Times New Roman" w:cs="Times New Roman"/>
          <w:sz w:val="24"/>
          <w:szCs w:val="24"/>
        </w:rPr>
        <w:t>数字法治思维能力</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③</w:t>
      </w:r>
      <w:r>
        <w:rPr>
          <w:rFonts w:ascii="Times New Roman" w:hAnsi="Times New Roman" w:cs="Times New Roman"/>
          <w:sz w:val="24"/>
          <w:szCs w:val="24"/>
        </w:rPr>
        <w:t>数字法治认知能力</w:t>
      </w:r>
    </w:p>
    <w:p>
      <w:pPr>
        <w:pStyle w:val="2"/>
        <w:snapToGrid w:val="0"/>
        <w:spacing w:line="360" w:lineRule="auto"/>
        <w:ind w:firstLine="480" w:firstLineChars="200"/>
        <w:rPr>
          <w:rFonts w:ascii="Times New Roman" w:hAnsi="Times New Roman" w:cs="Times New Roman"/>
          <w:sz w:val="24"/>
          <w:szCs w:val="24"/>
        </w:rPr>
      </w:pPr>
      <w:r>
        <w:rPr>
          <w:rFonts w:hint="eastAsia" w:hAnsi="宋体"/>
          <w:sz w:val="24"/>
          <w:szCs w:val="24"/>
        </w:rPr>
        <w:t>④</w:t>
      </w:r>
      <w:r>
        <w:rPr>
          <w:rFonts w:ascii="Times New Roman" w:hAnsi="Times New Roman" w:cs="Times New Roman"/>
          <w:sz w:val="24"/>
          <w:szCs w:val="24"/>
        </w:rPr>
        <w:t>数字法律运用能力</w:t>
      </w:r>
    </w:p>
    <w:p>
      <w:pPr>
        <w:widowControl/>
        <w:shd w:val="clear" w:color="auto" w:fill="FFFFFF"/>
        <w:spacing w:line="360" w:lineRule="auto"/>
        <w:ind w:firstLine="360" w:firstLineChars="150"/>
        <w:jc w:val="left"/>
        <w:rPr>
          <w:rFonts w:ascii="Times New Roman" w:hAnsi="Times New Roman"/>
          <w:sz w:val="24"/>
          <w:szCs w:val="24"/>
        </w:rPr>
      </w:pPr>
    </w:p>
    <w:p>
      <w:pPr>
        <w:pStyle w:val="9"/>
        <w:overflowPunct w:val="0"/>
        <w:spacing w:line="360" w:lineRule="auto"/>
        <w:ind w:firstLine="0" w:firstLineChars="0"/>
        <w:rPr>
          <w:rFonts w:ascii="Times New Roman" w:hAnsi="Times New Roman"/>
          <w:b/>
          <w:sz w:val="24"/>
          <w:szCs w:val="24"/>
        </w:rPr>
      </w:pPr>
      <w:r>
        <w:rPr>
          <w:rFonts w:ascii="Times New Roman" w:hAnsi="Times New Roman"/>
          <w:b/>
          <w:sz w:val="24"/>
          <w:szCs w:val="24"/>
        </w:rPr>
        <w:t>三、毕业学分要求</w:t>
      </w:r>
    </w:p>
    <w:p>
      <w:pPr>
        <w:pStyle w:val="10"/>
        <w:snapToGrid w:val="0"/>
        <w:spacing w:before="156" w:beforeLines="50" w:after="156" w:afterLines="50" w:line="300" w:lineRule="auto"/>
        <w:ind w:firstLine="480"/>
        <w:jc w:val="left"/>
        <w:rPr>
          <w:rFonts w:ascii="Times New Roman" w:hAnsi="Times New Roman" w:cs="Times New Roman"/>
          <w:b/>
          <w:sz w:val="24"/>
          <w:szCs w:val="24"/>
        </w:rPr>
      </w:pPr>
      <w:r>
        <w:rPr>
          <w:rFonts w:ascii="Times New Roman" w:hAnsi="Times New Roman" w:cs="Times New Roman"/>
          <w:kern w:val="0"/>
          <w:sz w:val="24"/>
          <w:szCs w:val="24"/>
        </w:rPr>
        <w:t>1．毕业最低要求16</w:t>
      </w:r>
      <w:r>
        <w:rPr>
          <w:rFonts w:hint="eastAsia" w:ascii="Times New Roman" w:hAnsi="Times New Roman" w:cs="Times New Roman"/>
          <w:kern w:val="0"/>
          <w:sz w:val="24"/>
          <w:szCs w:val="24"/>
          <w:lang w:val="en-US" w:eastAsia="zh-CN"/>
        </w:rPr>
        <w:t>0</w:t>
      </w:r>
      <w:r>
        <w:rPr>
          <w:rFonts w:ascii="Times New Roman" w:hAnsi="Times New Roman" w:cs="Times New Roman"/>
          <w:kern w:val="0"/>
          <w:sz w:val="24"/>
          <w:szCs w:val="24"/>
        </w:rPr>
        <w:t>学分，其中课堂教学14</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学分，实践教学环节1</w:t>
      </w:r>
      <w:r>
        <w:rPr>
          <w:rFonts w:hint="eastAsia" w:ascii="Times New Roman" w:hAnsi="Times New Roman" w:cs="Times New Roman"/>
          <w:kern w:val="0"/>
          <w:sz w:val="24"/>
          <w:szCs w:val="24"/>
          <w:lang w:val="en-US" w:eastAsia="zh-CN"/>
        </w:rPr>
        <w:t>8</w:t>
      </w:r>
      <w:r>
        <w:rPr>
          <w:rFonts w:ascii="Times New Roman" w:hAnsi="Times New Roman" w:cs="Times New Roman"/>
          <w:kern w:val="0"/>
          <w:sz w:val="24"/>
          <w:szCs w:val="24"/>
        </w:rPr>
        <w:t>学分，学分构成参见如下表。</w:t>
      </w:r>
    </w:p>
    <w:tbl>
      <w:tblPr>
        <w:tblStyle w:val="6"/>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92"/>
        <w:gridCol w:w="821"/>
        <w:gridCol w:w="2126"/>
        <w:gridCol w:w="1022"/>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64" w:type="dxa"/>
            <w:gridSpan w:val="4"/>
            <w:tcBorders>
              <w:top w:val="single" w:color="auto" w:sz="12" w:space="0"/>
              <w:left w:val="single" w:color="auto" w:sz="12" w:space="0"/>
              <w:bottom w:val="single" w:color="auto" w:sz="12" w:space="0"/>
            </w:tcBorders>
            <w:vAlign w:val="center"/>
          </w:tcPr>
          <w:p>
            <w:pPr>
              <w:spacing w:line="240" w:lineRule="atLeast"/>
              <w:jc w:val="center"/>
              <w:rPr>
                <w:rFonts w:ascii="Times New Roman" w:hAnsi="Times New Roman" w:eastAsia="仿宋"/>
                <w:b/>
                <w:sz w:val="24"/>
                <w:szCs w:val="24"/>
              </w:rPr>
            </w:pPr>
            <w:r>
              <w:rPr>
                <w:rFonts w:ascii="Times New Roman" w:hAnsi="Times New Roman" w:eastAsia="黑体"/>
                <w:kern w:val="0"/>
                <w:szCs w:val="21"/>
              </w:rPr>
              <w:t>课程类别</w:t>
            </w:r>
          </w:p>
        </w:tc>
        <w:tc>
          <w:tcPr>
            <w:tcW w:w="1022" w:type="dxa"/>
            <w:tcBorders>
              <w:top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仿宋" w:cs="Times New Roman"/>
                <w:b/>
                <w:sz w:val="24"/>
                <w:szCs w:val="24"/>
              </w:rPr>
            </w:pPr>
            <w:r>
              <w:rPr>
                <w:rFonts w:ascii="Times New Roman" w:hAnsi="Times New Roman" w:eastAsia="仿宋" w:cs="Times New Roman"/>
                <w:b/>
                <w:sz w:val="24"/>
                <w:szCs w:val="24"/>
              </w:rPr>
              <w:t>学分数</w:t>
            </w:r>
          </w:p>
        </w:tc>
        <w:tc>
          <w:tcPr>
            <w:tcW w:w="1545" w:type="dxa"/>
            <w:tcBorders>
              <w:top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仿宋" w:cs="Times New Roman"/>
                <w:b/>
                <w:sz w:val="24"/>
                <w:szCs w:val="24"/>
              </w:rPr>
            </w:pPr>
            <w:r>
              <w:rPr>
                <w:rFonts w:ascii="Times New Roman" w:hAnsi="Times New Roman" w:eastAsia="仿宋" w:cs="Times New Roman"/>
                <w:b/>
                <w:sz w:val="24"/>
                <w:szCs w:val="24"/>
              </w:rPr>
              <w:t>所占</w:t>
            </w:r>
          </w:p>
          <w:p>
            <w:pPr>
              <w:pStyle w:val="10"/>
              <w:spacing w:line="240" w:lineRule="atLeast"/>
              <w:ind w:firstLine="0" w:firstLineChars="0"/>
              <w:jc w:val="center"/>
              <w:rPr>
                <w:rFonts w:ascii="Times New Roman" w:hAnsi="Times New Roman" w:eastAsia="仿宋" w:cs="Times New Roman"/>
                <w:b/>
                <w:sz w:val="24"/>
                <w:szCs w:val="24"/>
              </w:rPr>
            </w:pPr>
            <w:r>
              <w:rPr>
                <w:rFonts w:ascii="Times New Roman" w:hAnsi="Times New Roman" w:eastAsia="仿宋" w:cs="Times New Roman"/>
                <w:b/>
                <w:sz w:val="24"/>
                <w:szCs w:val="24"/>
              </w:rPr>
              <w:t>比例（%）</w:t>
            </w:r>
          </w:p>
        </w:tc>
        <w:tc>
          <w:tcPr>
            <w:tcW w:w="1545" w:type="dxa"/>
            <w:tcBorders>
              <w:top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仿宋" w:cs="Times New Roman"/>
                <w:b/>
                <w:sz w:val="24"/>
                <w:szCs w:val="24"/>
              </w:rPr>
            </w:pPr>
            <w:r>
              <w:rPr>
                <w:rFonts w:ascii="Times New Roman" w:hAnsi="Times New Roman" w:eastAsia="黑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25" w:type="dxa"/>
            <w:vMerge w:val="restart"/>
            <w:tcBorders>
              <w:top w:val="single" w:color="auto" w:sz="12" w:space="0"/>
              <w:left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课</w:t>
            </w:r>
          </w:p>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堂</w:t>
            </w:r>
          </w:p>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教</w:t>
            </w:r>
          </w:p>
          <w:p>
            <w:pPr>
              <w:pStyle w:val="10"/>
              <w:spacing w:line="240" w:lineRule="atLeast"/>
              <w:ind w:firstLine="0" w:firstLineChars="0"/>
              <w:jc w:val="center"/>
              <w:rPr>
                <w:rFonts w:ascii="Times New Roman" w:hAnsi="Times New Roman" w:eastAsia="仿宋" w:cs="Times New Roman"/>
                <w:sz w:val="24"/>
                <w:szCs w:val="24"/>
              </w:rPr>
            </w:pPr>
            <w:r>
              <w:rPr>
                <w:rFonts w:ascii="Times New Roman" w:hAnsi="Times New Roman" w:eastAsia="黑体" w:cs="Times New Roman"/>
                <w:kern w:val="0"/>
                <w:szCs w:val="21"/>
              </w:rPr>
              <w:t>学</w:t>
            </w:r>
          </w:p>
        </w:tc>
        <w:tc>
          <w:tcPr>
            <w:tcW w:w="992" w:type="dxa"/>
            <w:vMerge w:val="restart"/>
            <w:tcBorders>
              <w:top w:val="single" w:color="auto" w:sz="12" w:space="0"/>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r>
              <w:rPr>
                <w:rFonts w:ascii="Times New Roman" w:hAnsi="Times New Roman" w:eastAsia="黑体" w:cs="Times New Roman"/>
                <w:kern w:val="0"/>
                <w:szCs w:val="21"/>
              </w:rPr>
              <w:t>必修课</w:t>
            </w:r>
          </w:p>
        </w:tc>
        <w:tc>
          <w:tcPr>
            <w:tcW w:w="2947" w:type="dxa"/>
            <w:gridSpan w:val="2"/>
            <w:tcBorders>
              <w:top w:val="single" w:color="auto" w:sz="12" w:space="0"/>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普通共同课</w:t>
            </w:r>
          </w:p>
        </w:tc>
        <w:tc>
          <w:tcPr>
            <w:tcW w:w="1022" w:type="dxa"/>
            <w:tcBorders>
              <w:top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42</w:t>
            </w:r>
          </w:p>
        </w:tc>
        <w:tc>
          <w:tcPr>
            <w:tcW w:w="1545" w:type="dxa"/>
            <w:tcBorders>
              <w:top w:val="single" w:color="auto" w:sz="12" w:space="0"/>
            </w:tcBorders>
            <w:vAlign w:val="center"/>
          </w:tcPr>
          <w:p>
            <w:pPr>
              <w:pStyle w:val="10"/>
              <w:spacing w:line="240" w:lineRule="atLeast"/>
              <w:ind w:firstLine="0" w:firstLineChars="0"/>
              <w:jc w:val="center"/>
              <w:rPr>
                <w:rFonts w:hint="default" w:ascii="Times New Roman" w:hAnsi="Times New Roman" w:eastAsia="宋体" w:cs="Times New Roman"/>
                <w:kern w:val="0"/>
                <w:szCs w:val="21"/>
                <w:lang w:val="en-US" w:eastAsia="zh-CN"/>
              </w:rPr>
            </w:pPr>
            <w:r>
              <w:rPr>
                <w:rFonts w:ascii="Times New Roman" w:hAnsi="Times New Roman" w:cs="Times New Roman"/>
                <w:kern w:val="0"/>
                <w:szCs w:val="21"/>
              </w:rPr>
              <w:t>2</w:t>
            </w:r>
            <w:r>
              <w:rPr>
                <w:rFonts w:hint="eastAsia" w:ascii="Times New Roman" w:hAnsi="Times New Roman" w:cs="Times New Roman"/>
                <w:kern w:val="0"/>
                <w:szCs w:val="21"/>
                <w:lang w:val="en-US" w:eastAsia="zh-CN"/>
              </w:rPr>
              <w:t>6</w:t>
            </w:r>
            <w:r>
              <w:rPr>
                <w:rFonts w:ascii="Times New Roman" w:hAnsi="Times New Roman" w:cs="Times New Roman"/>
                <w:kern w:val="0"/>
                <w:szCs w:val="21"/>
              </w:rPr>
              <w:t>.</w:t>
            </w:r>
            <w:r>
              <w:rPr>
                <w:rFonts w:hint="eastAsia" w:ascii="Times New Roman" w:hAnsi="Times New Roman" w:cs="Times New Roman"/>
                <w:kern w:val="0"/>
                <w:szCs w:val="21"/>
                <w:lang w:val="en-US" w:eastAsia="zh-CN"/>
              </w:rPr>
              <w:t>25</w:t>
            </w:r>
          </w:p>
        </w:tc>
        <w:tc>
          <w:tcPr>
            <w:tcW w:w="1545" w:type="dxa"/>
            <w:vMerge w:val="restart"/>
            <w:tcBorders>
              <w:top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≥41学分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学科共同课</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44</w:t>
            </w:r>
          </w:p>
        </w:tc>
        <w:tc>
          <w:tcPr>
            <w:tcW w:w="1545" w:type="dxa"/>
            <w:vAlign w:val="center"/>
          </w:tcPr>
          <w:p>
            <w:pPr>
              <w:pStyle w:val="10"/>
              <w:spacing w:line="240" w:lineRule="atLeast"/>
              <w:ind w:firstLine="0" w:firstLineChars="0"/>
              <w:jc w:val="center"/>
              <w:rPr>
                <w:rFonts w:hint="default" w:ascii="Times New Roman" w:hAnsi="Times New Roman" w:eastAsia="宋体" w:cs="Times New Roman"/>
                <w:kern w:val="0"/>
                <w:szCs w:val="21"/>
                <w:lang w:val="en-US" w:eastAsia="zh-CN"/>
              </w:rPr>
            </w:pPr>
            <w:r>
              <w:rPr>
                <w:rFonts w:ascii="Times New Roman" w:hAnsi="Times New Roman" w:cs="Times New Roman"/>
                <w:kern w:val="0"/>
                <w:szCs w:val="21"/>
              </w:rPr>
              <w:t>27</w:t>
            </w:r>
            <w:r>
              <w:rPr>
                <w:rFonts w:hint="eastAsia" w:ascii="Times New Roman" w:hAnsi="Times New Roman" w:cs="Times New Roman"/>
                <w:kern w:val="0"/>
                <w:szCs w:val="21"/>
                <w:lang w:val="en-US" w:eastAsia="zh-CN"/>
              </w:rPr>
              <w:t>.5</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专业核心课</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10</w:t>
            </w:r>
          </w:p>
        </w:tc>
        <w:tc>
          <w:tcPr>
            <w:tcW w:w="1545" w:type="dxa"/>
            <w:vAlign w:val="center"/>
          </w:tcPr>
          <w:p>
            <w:pPr>
              <w:pStyle w:val="10"/>
              <w:spacing w:line="240" w:lineRule="atLeast"/>
              <w:ind w:firstLine="0" w:firstLineChars="0"/>
              <w:jc w:val="center"/>
              <w:rPr>
                <w:rFonts w:hint="default" w:ascii="Times New Roman" w:hAnsi="Times New Roman" w:eastAsia="宋体" w:cs="Times New Roman"/>
                <w:kern w:val="0"/>
                <w:szCs w:val="21"/>
                <w:lang w:val="en-US" w:eastAsia="zh-CN"/>
              </w:rPr>
            </w:pPr>
            <w:r>
              <w:rPr>
                <w:rFonts w:ascii="Times New Roman" w:hAnsi="Times New Roman" w:cs="Times New Roman"/>
                <w:kern w:val="0"/>
                <w:szCs w:val="21"/>
              </w:rPr>
              <w:t>6.</w:t>
            </w:r>
            <w:r>
              <w:rPr>
                <w:rFonts w:hint="eastAsia" w:ascii="Times New Roman" w:hAnsi="Times New Roman" w:cs="Times New Roman"/>
                <w:kern w:val="0"/>
                <w:szCs w:val="21"/>
                <w:lang w:val="en-US" w:eastAsia="zh-CN"/>
              </w:rPr>
              <w:t>25</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restart"/>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r>
              <w:rPr>
                <w:rFonts w:ascii="Times New Roman" w:hAnsi="Times New Roman" w:eastAsia="黑体" w:cs="Times New Roman"/>
                <w:kern w:val="0"/>
                <w:szCs w:val="21"/>
              </w:rPr>
              <w:t>选修课</w:t>
            </w:r>
          </w:p>
        </w:tc>
        <w:tc>
          <w:tcPr>
            <w:tcW w:w="821" w:type="dxa"/>
            <w:vMerge w:val="restart"/>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专业选修课</w:t>
            </w: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方向一：涉外法务</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12</w:t>
            </w:r>
          </w:p>
        </w:tc>
        <w:tc>
          <w:tcPr>
            <w:tcW w:w="1545" w:type="dxa"/>
            <w:vMerge w:val="restart"/>
            <w:vAlign w:val="center"/>
          </w:tcPr>
          <w:p>
            <w:pPr>
              <w:pStyle w:val="10"/>
              <w:spacing w:line="240" w:lineRule="atLeast"/>
              <w:ind w:firstLine="0" w:firstLineChars="0"/>
              <w:jc w:val="center"/>
              <w:rPr>
                <w:rFonts w:hint="eastAsia" w:ascii="Times New Roman" w:hAnsi="Times New Roman" w:eastAsia="宋体" w:cs="Times New Roman"/>
                <w:kern w:val="0"/>
                <w:szCs w:val="21"/>
                <w:lang w:eastAsia="zh-CN"/>
              </w:rPr>
            </w:pPr>
            <w:r>
              <w:rPr>
                <w:rFonts w:ascii="Times New Roman" w:hAnsi="Times New Roman" w:cs="Times New Roman"/>
                <w:kern w:val="0"/>
                <w:szCs w:val="21"/>
              </w:rPr>
              <w:t>7.</w:t>
            </w:r>
            <w:r>
              <w:rPr>
                <w:rFonts w:hint="eastAsia" w:ascii="Times New Roman" w:hAnsi="Times New Roman" w:cs="Times New Roman"/>
                <w:kern w:val="0"/>
                <w:szCs w:val="21"/>
                <w:lang w:val="en-US" w:eastAsia="zh-CN"/>
              </w:rPr>
              <w:t>5</w:t>
            </w:r>
          </w:p>
        </w:tc>
        <w:tc>
          <w:tcPr>
            <w:tcW w:w="1545" w:type="dxa"/>
            <w:vMerge w:val="restart"/>
            <w:vAlign w:val="center"/>
          </w:tcPr>
          <w:p>
            <w:pPr>
              <w:spacing w:line="240" w:lineRule="atLeast"/>
              <w:jc w:val="center"/>
              <w:rPr>
                <w:rFonts w:ascii="Times New Roman" w:hAnsi="Times New Roman"/>
                <w:kern w:val="0"/>
                <w:szCs w:val="21"/>
              </w:rPr>
            </w:pPr>
            <w:r>
              <w:rPr>
                <w:rFonts w:ascii="Times New Roman" w:hAnsi="Times New Roman"/>
                <w:kern w:val="0"/>
                <w:szCs w:val="21"/>
              </w:rPr>
              <w:t>第2学期建议修读2学分</w:t>
            </w:r>
          </w:p>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第3学期建议修读4学分</w:t>
            </w:r>
          </w:p>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第4学期建议修读6学分</w:t>
            </w:r>
          </w:p>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第5学期建议修读10学分</w:t>
            </w:r>
          </w:p>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第6学期建议修读</w:t>
            </w:r>
            <w:r>
              <w:rPr>
                <w:rFonts w:hint="eastAsia" w:ascii="Times New Roman" w:hAnsi="Times New Roman" w:cs="Times New Roman"/>
                <w:kern w:val="0"/>
                <w:szCs w:val="21"/>
                <w:lang w:val="en-US" w:eastAsia="zh-CN"/>
              </w:rPr>
              <w:t>6</w:t>
            </w:r>
            <w:r>
              <w:rPr>
                <w:rFonts w:ascii="Times New Roman" w:hAnsi="Times New Roman" w:cs="Times New Roman"/>
                <w:kern w:val="0"/>
                <w:szCs w:val="21"/>
              </w:rPr>
              <w:t>学分</w:t>
            </w:r>
          </w:p>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第7学期建议修读2学分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方向二：司法实务</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12</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方向三：公司法务</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12</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方向四：数字法学</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12</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共同选修课</w:t>
            </w:r>
          </w:p>
        </w:tc>
        <w:tc>
          <w:tcPr>
            <w:tcW w:w="1022" w:type="dxa"/>
            <w:vAlign w:val="center"/>
          </w:tcPr>
          <w:p>
            <w:pPr>
              <w:pStyle w:val="10"/>
              <w:spacing w:line="240" w:lineRule="atLeast"/>
              <w:ind w:firstLine="0" w:firstLineChars="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18</w:t>
            </w:r>
          </w:p>
        </w:tc>
        <w:tc>
          <w:tcPr>
            <w:tcW w:w="1545" w:type="dxa"/>
            <w:vAlign w:val="center"/>
          </w:tcPr>
          <w:p>
            <w:pPr>
              <w:pStyle w:val="10"/>
              <w:spacing w:line="240" w:lineRule="atLeast"/>
              <w:ind w:firstLine="367" w:firstLineChars="175"/>
              <w:jc w:val="center"/>
              <w:rPr>
                <w:rFonts w:hint="eastAsia" w:ascii="Times New Roman" w:hAnsi="Times New Roman" w:eastAsia="宋体" w:cs="Times New Roman"/>
                <w:kern w:val="0"/>
                <w:szCs w:val="21"/>
                <w:lang w:eastAsia="zh-CN"/>
              </w:rPr>
            </w:pPr>
            <w:r>
              <w:rPr>
                <w:rFonts w:ascii="Times New Roman" w:hAnsi="Times New Roman" w:cs="Times New Roman"/>
                <w:kern w:val="0"/>
                <w:szCs w:val="21"/>
              </w:rPr>
              <w:t>1</w:t>
            </w:r>
            <w:r>
              <w:rPr>
                <w:rFonts w:hint="eastAsia" w:ascii="Times New Roman" w:hAnsi="Times New Roman" w:cs="Times New Roman"/>
                <w:kern w:val="0"/>
                <w:szCs w:val="21"/>
                <w:lang w:val="en-US" w:eastAsia="zh-CN"/>
              </w:rPr>
              <w:t>1</w:t>
            </w:r>
            <w:r>
              <w:rPr>
                <w:rFonts w:ascii="Times New Roman" w:hAnsi="Times New Roman" w:cs="Times New Roman"/>
                <w:kern w:val="0"/>
                <w:szCs w:val="21"/>
              </w:rPr>
              <w:t>.2</w:t>
            </w:r>
            <w:r>
              <w:rPr>
                <w:rFonts w:hint="eastAsia" w:ascii="Times New Roman" w:hAnsi="Times New Roman" w:cs="Times New Roman"/>
                <w:kern w:val="0"/>
                <w:szCs w:val="21"/>
                <w:lang w:val="en-US" w:eastAsia="zh-CN"/>
              </w:rPr>
              <w:t>5</w:t>
            </w:r>
          </w:p>
        </w:tc>
        <w:tc>
          <w:tcPr>
            <w:tcW w:w="1545" w:type="dxa"/>
            <w:vMerge w:val="continue"/>
            <w:vAlign w:val="center"/>
          </w:tcPr>
          <w:p>
            <w:pPr>
              <w:pStyle w:val="10"/>
              <w:spacing w:line="240" w:lineRule="atLeast"/>
              <w:ind w:firstLine="367" w:firstLineChars="175"/>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restart"/>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通识选修课</w:t>
            </w: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公共艺术课程</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w:t>
            </w:r>
          </w:p>
        </w:tc>
        <w:tc>
          <w:tcPr>
            <w:tcW w:w="1545" w:type="dxa"/>
            <w:vMerge w:val="restart"/>
            <w:vAlign w:val="center"/>
          </w:tcPr>
          <w:p>
            <w:pPr>
              <w:pStyle w:val="10"/>
              <w:spacing w:line="240" w:lineRule="atLeast"/>
              <w:ind w:firstLine="0" w:firstLineChars="0"/>
              <w:jc w:val="center"/>
              <w:rPr>
                <w:rFonts w:hint="eastAsia" w:ascii="Times New Roman" w:hAnsi="Times New Roman" w:eastAsia="宋体" w:cs="Times New Roman"/>
                <w:kern w:val="0"/>
                <w:szCs w:val="21"/>
                <w:lang w:eastAsia="zh-CN"/>
              </w:rPr>
            </w:pPr>
            <w:r>
              <w:rPr>
                <w:rFonts w:ascii="Times New Roman" w:hAnsi="Times New Roman" w:cs="Times New Roman"/>
                <w:kern w:val="0"/>
                <w:szCs w:val="21"/>
              </w:rPr>
              <w:t>7.</w:t>
            </w:r>
            <w:r>
              <w:rPr>
                <w:rFonts w:hint="eastAsia" w:ascii="Times New Roman" w:hAnsi="Times New Roman" w:cs="Times New Roman"/>
                <w:kern w:val="0"/>
                <w:szCs w:val="21"/>
                <w:lang w:val="en-US" w:eastAsia="zh-CN"/>
              </w:rPr>
              <w:t>5</w:t>
            </w:r>
          </w:p>
        </w:tc>
        <w:tc>
          <w:tcPr>
            <w:tcW w:w="1545" w:type="dxa"/>
            <w:vMerge w:val="restart"/>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自然∙工程∙技术</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文学∙历史∙哲学</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2</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821"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c>
          <w:tcPr>
            <w:tcW w:w="2126"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任选模块</w:t>
            </w:r>
          </w:p>
        </w:tc>
        <w:tc>
          <w:tcPr>
            <w:tcW w:w="1022"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8</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25" w:type="dxa"/>
            <w:vMerge w:val="continue"/>
            <w:tcBorders>
              <w:lef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992" w:type="dxa"/>
            <w:vMerge w:val="continue"/>
            <w:tcBorders>
              <w:right w:val="single" w:color="auto" w:sz="12" w:space="0"/>
            </w:tcBorders>
            <w:vAlign w:val="center"/>
          </w:tcPr>
          <w:p>
            <w:pPr>
              <w:pStyle w:val="10"/>
              <w:spacing w:line="240" w:lineRule="atLeast"/>
              <w:ind w:firstLine="0" w:firstLineChars="0"/>
              <w:jc w:val="center"/>
              <w:rPr>
                <w:rFonts w:ascii="Times New Roman" w:hAnsi="Times New Roman" w:eastAsia="仿宋" w:cs="Times New Roman"/>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个性化课程</w:t>
            </w:r>
          </w:p>
        </w:tc>
        <w:tc>
          <w:tcPr>
            <w:tcW w:w="1022" w:type="dxa"/>
            <w:vAlign w:val="center"/>
          </w:tcPr>
          <w:p>
            <w:pPr>
              <w:pStyle w:val="10"/>
              <w:spacing w:line="240" w:lineRule="atLeast"/>
              <w:ind w:firstLine="34" w:firstLineChars="0"/>
              <w:jc w:val="center"/>
              <w:rPr>
                <w:rFonts w:ascii="Times New Roman" w:hAnsi="Times New Roman" w:cs="Times New Roman"/>
                <w:kern w:val="0"/>
                <w:szCs w:val="21"/>
              </w:rPr>
            </w:pPr>
            <w:r>
              <w:rPr>
                <w:rFonts w:ascii="Times New Roman" w:hAnsi="Times New Roman" w:cs="Times New Roman"/>
                <w:kern w:val="0"/>
                <w:szCs w:val="21"/>
              </w:rPr>
              <w:t>4</w:t>
            </w:r>
          </w:p>
        </w:tc>
        <w:tc>
          <w:tcPr>
            <w:tcW w:w="1545" w:type="dxa"/>
            <w:vAlign w:val="center"/>
          </w:tcPr>
          <w:p>
            <w:pPr>
              <w:pStyle w:val="10"/>
              <w:spacing w:line="240" w:lineRule="atLeast"/>
              <w:ind w:firstLine="0" w:firstLineChars="0"/>
              <w:jc w:val="center"/>
              <w:rPr>
                <w:rFonts w:hint="eastAsia" w:ascii="Times New Roman" w:hAnsi="Times New Roman" w:eastAsia="宋体" w:cs="Times New Roman"/>
                <w:kern w:val="0"/>
                <w:szCs w:val="21"/>
                <w:lang w:eastAsia="zh-CN"/>
              </w:rPr>
            </w:pPr>
            <w:r>
              <w:rPr>
                <w:rFonts w:ascii="Times New Roman" w:hAnsi="Times New Roman" w:cs="Times New Roman"/>
                <w:kern w:val="0"/>
                <w:szCs w:val="21"/>
              </w:rPr>
              <w:t>2.</w:t>
            </w:r>
            <w:r>
              <w:rPr>
                <w:rFonts w:hint="eastAsia" w:ascii="Times New Roman" w:hAnsi="Times New Roman" w:cs="Times New Roman"/>
                <w:kern w:val="0"/>
                <w:szCs w:val="21"/>
                <w:lang w:val="en-US" w:eastAsia="zh-CN"/>
              </w:rPr>
              <w:t>5</w:t>
            </w:r>
          </w:p>
        </w:tc>
        <w:tc>
          <w:tcPr>
            <w:tcW w:w="1545" w:type="dxa"/>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17" w:type="dxa"/>
            <w:gridSpan w:val="2"/>
            <w:vMerge w:val="restart"/>
            <w:tcBorders>
              <w:left w:val="single" w:color="auto" w:sz="12" w:space="0"/>
              <w:right w:val="single" w:color="auto" w:sz="12" w:space="0"/>
            </w:tcBorders>
            <w:vAlign w:val="center"/>
          </w:tcPr>
          <w:p>
            <w:pPr>
              <w:spacing w:line="240" w:lineRule="atLeast"/>
              <w:jc w:val="center"/>
              <w:rPr>
                <w:rFonts w:ascii="Times New Roman" w:hAnsi="Times New Roman" w:eastAsia="黑体"/>
                <w:kern w:val="0"/>
                <w:szCs w:val="21"/>
              </w:rPr>
            </w:pPr>
            <w:r>
              <w:rPr>
                <w:rFonts w:ascii="Times New Roman" w:hAnsi="Times New Roman" w:eastAsia="黑体"/>
                <w:kern w:val="0"/>
                <w:szCs w:val="21"/>
              </w:rPr>
              <w:t>实践</w:t>
            </w:r>
          </w:p>
          <w:p>
            <w:pPr>
              <w:spacing w:line="240" w:lineRule="atLeast"/>
              <w:jc w:val="center"/>
              <w:rPr>
                <w:rFonts w:ascii="Times New Roman" w:hAnsi="Times New Roman" w:eastAsia="黑体"/>
                <w:kern w:val="0"/>
                <w:szCs w:val="21"/>
              </w:rPr>
            </w:pPr>
            <w:r>
              <w:rPr>
                <w:rFonts w:ascii="Times New Roman" w:hAnsi="Times New Roman" w:eastAsia="黑体"/>
                <w:kern w:val="0"/>
                <w:szCs w:val="21"/>
              </w:rPr>
              <w:t>教学</w:t>
            </w:r>
          </w:p>
          <w:p>
            <w:pPr>
              <w:spacing w:line="240" w:lineRule="atLeast"/>
              <w:jc w:val="center"/>
              <w:rPr>
                <w:rFonts w:ascii="Times New Roman" w:hAnsi="Times New Roman" w:eastAsia="仿宋"/>
                <w:sz w:val="24"/>
                <w:szCs w:val="24"/>
              </w:rPr>
            </w:pPr>
            <w:r>
              <w:rPr>
                <w:rFonts w:ascii="Times New Roman" w:hAnsi="Times New Roman" w:eastAsia="黑体"/>
                <w:kern w:val="0"/>
                <w:szCs w:val="21"/>
              </w:rPr>
              <w:t>环节</w:t>
            </w: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军事技能</w:t>
            </w:r>
          </w:p>
        </w:tc>
        <w:tc>
          <w:tcPr>
            <w:tcW w:w="1022" w:type="dxa"/>
            <w:vAlign w:val="center"/>
          </w:tcPr>
          <w:p>
            <w:pPr>
              <w:overflowPunct w:val="0"/>
              <w:spacing w:line="240" w:lineRule="atLeast"/>
              <w:jc w:val="center"/>
              <w:rPr>
                <w:rFonts w:ascii="Times New Roman" w:hAnsi="Times New Roman"/>
                <w:kern w:val="0"/>
                <w:szCs w:val="21"/>
              </w:rPr>
            </w:pPr>
            <w:r>
              <w:rPr>
                <w:rFonts w:ascii="Times New Roman" w:hAnsi="Times New Roman"/>
                <w:kern w:val="0"/>
                <w:szCs w:val="21"/>
              </w:rPr>
              <w:t>2.0</w:t>
            </w:r>
          </w:p>
        </w:tc>
        <w:tc>
          <w:tcPr>
            <w:tcW w:w="1545" w:type="dxa"/>
            <w:vMerge w:val="restart"/>
            <w:vAlign w:val="center"/>
          </w:tcPr>
          <w:p>
            <w:pPr>
              <w:overflowPunct w:val="0"/>
              <w:spacing w:line="240" w:lineRule="atLeast"/>
              <w:jc w:val="center"/>
              <w:rPr>
                <w:rFonts w:hint="default" w:ascii="Times New Roman" w:hAnsi="Times New Roman" w:eastAsia="宋体"/>
                <w:kern w:val="0"/>
                <w:szCs w:val="21"/>
                <w:lang w:val="en-US" w:eastAsia="zh-CN"/>
              </w:rPr>
            </w:pPr>
            <w:r>
              <w:rPr>
                <w:rFonts w:ascii="Times New Roman" w:hAnsi="Times New Roman"/>
                <w:kern w:val="0"/>
                <w:szCs w:val="21"/>
              </w:rPr>
              <w:t>11.</w:t>
            </w:r>
            <w:r>
              <w:rPr>
                <w:rFonts w:hint="eastAsia" w:ascii="Times New Roman" w:hAnsi="Times New Roman"/>
                <w:kern w:val="0"/>
                <w:szCs w:val="21"/>
                <w:lang w:val="en-US" w:eastAsia="zh-CN"/>
              </w:rPr>
              <w:t>25</w:t>
            </w:r>
          </w:p>
        </w:tc>
        <w:tc>
          <w:tcPr>
            <w:tcW w:w="1545" w:type="dxa"/>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17" w:type="dxa"/>
            <w:gridSpan w:val="2"/>
            <w:vMerge w:val="continue"/>
            <w:tcBorders>
              <w:left w:val="single" w:color="auto" w:sz="12" w:space="0"/>
              <w:right w:val="single" w:color="auto" w:sz="12" w:space="0"/>
            </w:tcBorders>
            <w:vAlign w:val="center"/>
          </w:tcPr>
          <w:p>
            <w:pPr>
              <w:spacing w:line="240" w:lineRule="atLeast"/>
              <w:jc w:val="center"/>
              <w:rPr>
                <w:rFonts w:ascii="Times New Roman" w:hAnsi="Times New Roman" w:eastAsia="仿宋"/>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跨文化实践</w:t>
            </w:r>
          </w:p>
        </w:tc>
        <w:tc>
          <w:tcPr>
            <w:tcW w:w="1022" w:type="dxa"/>
            <w:vAlign w:val="center"/>
          </w:tcPr>
          <w:p>
            <w:pPr>
              <w:overflowPunct w:val="0"/>
              <w:spacing w:line="240" w:lineRule="atLeast"/>
              <w:jc w:val="center"/>
              <w:rPr>
                <w:rFonts w:ascii="Times New Roman" w:hAnsi="Times New Roman"/>
                <w:kern w:val="0"/>
                <w:szCs w:val="21"/>
              </w:rPr>
            </w:pPr>
            <w:r>
              <w:rPr>
                <w:rFonts w:ascii="Times New Roman" w:hAnsi="Times New Roman"/>
                <w:kern w:val="0"/>
                <w:szCs w:val="21"/>
              </w:rPr>
              <w:t>0.5</w:t>
            </w:r>
          </w:p>
        </w:tc>
        <w:tc>
          <w:tcPr>
            <w:tcW w:w="1545" w:type="dxa"/>
            <w:vMerge w:val="continue"/>
            <w:vAlign w:val="center"/>
          </w:tcPr>
          <w:p>
            <w:pPr>
              <w:overflowPunct w:val="0"/>
              <w:spacing w:line="240" w:lineRule="atLeast"/>
              <w:jc w:val="center"/>
              <w:rPr>
                <w:rFonts w:ascii="Times New Roman" w:hAnsi="Times New Roman"/>
                <w:kern w:val="0"/>
                <w:szCs w:val="21"/>
              </w:rPr>
            </w:pPr>
          </w:p>
        </w:tc>
        <w:tc>
          <w:tcPr>
            <w:tcW w:w="1545" w:type="dxa"/>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17" w:type="dxa"/>
            <w:gridSpan w:val="2"/>
            <w:vMerge w:val="continue"/>
            <w:tcBorders>
              <w:left w:val="single" w:color="auto" w:sz="12" w:space="0"/>
              <w:right w:val="single" w:color="auto" w:sz="12" w:space="0"/>
            </w:tcBorders>
            <w:vAlign w:val="center"/>
          </w:tcPr>
          <w:p>
            <w:pPr>
              <w:spacing w:line="240" w:lineRule="atLeast"/>
              <w:jc w:val="center"/>
              <w:rPr>
                <w:rFonts w:ascii="Times New Roman" w:hAnsi="Times New Roman" w:eastAsia="仿宋"/>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创新与创业</w:t>
            </w:r>
          </w:p>
        </w:tc>
        <w:tc>
          <w:tcPr>
            <w:tcW w:w="1022" w:type="dxa"/>
            <w:vAlign w:val="center"/>
          </w:tcPr>
          <w:p>
            <w:pPr>
              <w:overflowPunct w:val="0"/>
              <w:spacing w:line="240" w:lineRule="atLeast"/>
              <w:jc w:val="center"/>
              <w:rPr>
                <w:rFonts w:ascii="Times New Roman" w:hAnsi="Times New Roman"/>
                <w:kern w:val="0"/>
                <w:szCs w:val="21"/>
              </w:rPr>
            </w:pPr>
            <w:r>
              <w:rPr>
                <w:rFonts w:ascii="Times New Roman" w:hAnsi="Times New Roman"/>
                <w:kern w:val="0"/>
                <w:szCs w:val="21"/>
              </w:rPr>
              <w:t>1.0</w:t>
            </w:r>
          </w:p>
        </w:tc>
        <w:tc>
          <w:tcPr>
            <w:tcW w:w="1545" w:type="dxa"/>
            <w:vMerge w:val="continue"/>
            <w:vAlign w:val="center"/>
          </w:tcPr>
          <w:p>
            <w:pPr>
              <w:overflowPunct w:val="0"/>
              <w:spacing w:line="240" w:lineRule="atLeast"/>
              <w:jc w:val="center"/>
              <w:rPr>
                <w:rFonts w:ascii="Times New Roman" w:hAnsi="Times New Roman"/>
                <w:kern w:val="0"/>
                <w:szCs w:val="21"/>
              </w:rPr>
            </w:pPr>
          </w:p>
        </w:tc>
        <w:tc>
          <w:tcPr>
            <w:tcW w:w="1545" w:type="dxa"/>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17" w:type="dxa"/>
            <w:gridSpan w:val="2"/>
            <w:vMerge w:val="continue"/>
            <w:tcBorders>
              <w:left w:val="single" w:color="auto" w:sz="12" w:space="0"/>
              <w:right w:val="single" w:color="auto" w:sz="12" w:space="0"/>
            </w:tcBorders>
            <w:vAlign w:val="center"/>
          </w:tcPr>
          <w:p>
            <w:pPr>
              <w:spacing w:line="240" w:lineRule="atLeast"/>
              <w:jc w:val="center"/>
              <w:rPr>
                <w:rFonts w:ascii="Times New Roman" w:hAnsi="Times New Roman" w:eastAsia="仿宋"/>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艺术实践</w:t>
            </w:r>
          </w:p>
        </w:tc>
        <w:tc>
          <w:tcPr>
            <w:tcW w:w="1022" w:type="dxa"/>
            <w:vAlign w:val="center"/>
          </w:tcPr>
          <w:p>
            <w:pPr>
              <w:overflowPunct w:val="0"/>
              <w:spacing w:line="240" w:lineRule="atLeast"/>
              <w:jc w:val="center"/>
              <w:rPr>
                <w:rFonts w:hint="default" w:ascii="Times New Roman" w:hAnsi="Times New Roman" w:eastAsia="宋体"/>
                <w:kern w:val="0"/>
                <w:szCs w:val="21"/>
                <w:lang w:val="en-US" w:eastAsia="zh-CN"/>
              </w:rPr>
            </w:pPr>
            <w:r>
              <w:rPr>
                <w:rFonts w:ascii="Times New Roman" w:hAnsi="Times New Roman"/>
                <w:kern w:val="0"/>
                <w:szCs w:val="21"/>
              </w:rPr>
              <w:t>1</w:t>
            </w:r>
            <w:r>
              <w:rPr>
                <w:rFonts w:hint="eastAsia" w:ascii="Times New Roman" w:hAnsi="Times New Roman"/>
                <w:kern w:val="0"/>
                <w:szCs w:val="21"/>
                <w:lang w:val="en-US" w:eastAsia="zh-CN"/>
              </w:rPr>
              <w:t>.0</w:t>
            </w:r>
          </w:p>
        </w:tc>
        <w:tc>
          <w:tcPr>
            <w:tcW w:w="1545" w:type="dxa"/>
            <w:vMerge w:val="continue"/>
            <w:vAlign w:val="center"/>
          </w:tcPr>
          <w:p>
            <w:pPr>
              <w:overflowPunct w:val="0"/>
              <w:spacing w:line="240" w:lineRule="atLeast"/>
              <w:jc w:val="center"/>
              <w:rPr>
                <w:rFonts w:ascii="Times New Roman" w:hAnsi="Times New Roman"/>
                <w:kern w:val="0"/>
                <w:szCs w:val="21"/>
              </w:rPr>
            </w:pPr>
          </w:p>
        </w:tc>
        <w:tc>
          <w:tcPr>
            <w:tcW w:w="1545" w:type="dxa"/>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17" w:type="dxa"/>
            <w:gridSpan w:val="2"/>
            <w:vMerge w:val="continue"/>
            <w:tcBorders>
              <w:left w:val="single" w:color="auto" w:sz="12" w:space="0"/>
              <w:right w:val="single" w:color="auto" w:sz="12" w:space="0"/>
            </w:tcBorders>
            <w:vAlign w:val="center"/>
          </w:tcPr>
          <w:p>
            <w:pPr>
              <w:spacing w:line="240" w:lineRule="atLeast"/>
              <w:jc w:val="center"/>
              <w:rPr>
                <w:rFonts w:ascii="Times New Roman" w:hAnsi="Times New Roman" w:eastAsia="仿宋"/>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法制宣传教育实践</w:t>
            </w:r>
          </w:p>
        </w:tc>
        <w:tc>
          <w:tcPr>
            <w:tcW w:w="1022" w:type="dxa"/>
            <w:vAlign w:val="center"/>
          </w:tcPr>
          <w:p>
            <w:pPr>
              <w:overflowPunct w:val="0"/>
              <w:spacing w:line="240" w:lineRule="atLeast"/>
              <w:jc w:val="center"/>
              <w:rPr>
                <w:rFonts w:ascii="Times New Roman" w:hAnsi="Times New Roman"/>
                <w:kern w:val="0"/>
                <w:szCs w:val="21"/>
              </w:rPr>
            </w:pPr>
            <w:r>
              <w:rPr>
                <w:rFonts w:ascii="Times New Roman" w:hAnsi="Times New Roman"/>
                <w:kern w:val="0"/>
                <w:szCs w:val="21"/>
              </w:rPr>
              <w:t>1.5</w:t>
            </w:r>
          </w:p>
        </w:tc>
        <w:tc>
          <w:tcPr>
            <w:tcW w:w="1545" w:type="dxa"/>
            <w:vMerge w:val="continue"/>
            <w:vAlign w:val="center"/>
          </w:tcPr>
          <w:p>
            <w:pPr>
              <w:overflowPunct w:val="0"/>
              <w:spacing w:line="240" w:lineRule="atLeast"/>
              <w:jc w:val="center"/>
              <w:rPr>
                <w:rFonts w:ascii="Times New Roman" w:hAnsi="Times New Roman"/>
                <w:kern w:val="0"/>
                <w:szCs w:val="21"/>
              </w:rPr>
            </w:pPr>
          </w:p>
        </w:tc>
        <w:tc>
          <w:tcPr>
            <w:tcW w:w="1545" w:type="dxa"/>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17" w:type="dxa"/>
            <w:gridSpan w:val="2"/>
            <w:vMerge w:val="continue"/>
            <w:tcBorders>
              <w:left w:val="single" w:color="auto" w:sz="12" w:space="0"/>
              <w:right w:val="single" w:color="auto" w:sz="12" w:space="0"/>
            </w:tcBorders>
            <w:vAlign w:val="center"/>
          </w:tcPr>
          <w:p>
            <w:pPr>
              <w:spacing w:line="240" w:lineRule="atLeast"/>
              <w:jc w:val="center"/>
              <w:rPr>
                <w:rFonts w:ascii="Times New Roman" w:hAnsi="Times New Roman" w:eastAsia="仿宋"/>
                <w:sz w:val="24"/>
                <w:szCs w:val="24"/>
              </w:rPr>
            </w:pPr>
          </w:p>
        </w:tc>
        <w:tc>
          <w:tcPr>
            <w:tcW w:w="2947" w:type="dxa"/>
            <w:gridSpan w:val="2"/>
            <w:tcBorders>
              <w:left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毕业论文</w:t>
            </w:r>
          </w:p>
        </w:tc>
        <w:tc>
          <w:tcPr>
            <w:tcW w:w="1022" w:type="dxa"/>
            <w:vAlign w:val="center"/>
          </w:tcPr>
          <w:p>
            <w:pPr>
              <w:overflowPunct w:val="0"/>
              <w:spacing w:line="240" w:lineRule="atLeast"/>
              <w:jc w:val="center"/>
              <w:rPr>
                <w:rFonts w:ascii="Times New Roman" w:hAnsi="Times New Roman"/>
                <w:kern w:val="0"/>
                <w:szCs w:val="21"/>
              </w:rPr>
            </w:pPr>
            <w:r>
              <w:rPr>
                <w:rFonts w:ascii="Times New Roman" w:hAnsi="Times New Roman"/>
                <w:kern w:val="0"/>
                <w:szCs w:val="21"/>
              </w:rPr>
              <w:t>8.0</w:t>
            </w:r>
          </w:p>
        </w:tc>
        <w:tc>
          <w:tcPr>
            <w:tcW w:w="1545" w:type="dxa"/>
            <w:vMerge w:val="continue"/>
            <w:vAlign w:val="center"/>
          </w:tcPr>
          <w:p>
            <w:pPr>
              <w:overflowPunct w:val="0"/>
              <w:spacing w:line="240" w:lineRule="atLeast"/>
              <w:jc w:val="center"/>
              <w:rPr>
                <w:rFonts w:ascii="Times New Roman" w:hAnsi="Times New Roman"/>
                <w:kern w:val="0"/>
                <w:szCs w:val="21"/>
              </w:rPr>
            </w:pPr>
          </w:p>
        </w:tc>
        <w:tc>
          <w:tcPr>
            <w:tcW w:w="1545" w:type="dxa"/>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17" w:type="dxa"/>
            <w:gridSpan w:val="2"/>
            <w:vMerge w:val="continue"/>
            <w:tcBorders>
              <w:left w:val="single" w:color="auto" w:sz="12" w:space="0"/>
              <w:bottom w:val="single" w:color="auto" w:sz="12" w:space="0"/>
              <w:right w:val="single" w:color="auto" w:sz="12" w:space="0"/>
            </w:tcBorders>
            <w:vAlign w:val="center"/>
          </w:tcPr>
          <w:p>
            <w:pPr>
              <w:spacing w:line="240" w:lineRule="atLeast"/>
              <w:jc w:val="center"/>
              <w:rPr>
                <w:rFonts w:ascii="Times New Roman" w:hAnsi="Times New Roman" w:eastAsia="仿宋"/>
                <w:sz w:val="24"/>
                <w:szCs w:val="24"/>
              </w:rPr>
            </w:pPr>
          </w:p>
        </w:tc>
        <w:tc>
          <w:tcPr>
            <w:tcW w:w="2947" w:type="dxa"/>
            <w:gridSpan w:val="2"/>
            <w:tcBorders>
              <w:left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毕业实习</w:t>
            </w:r>
          </w:p>
        </w:tc>
        <w:tc>
          <w:tcPr>
            <w:tcW w:w="1022" w:type="dxa"/>
            <w:tcBorders>
              <w:bottom w:val="single" w:color="auto" w:sz="12" w:space="0"/>
            </w:tcBorders>
            <w:vAlign w:val="center"/>
          </w:tcPr>
          <w:p>
            <w:pPr>
              <w:overflowPunct w:val="0"/>
              <w:spacing w:line="240" w:lineRule="atLeast"/>
              <w:jc w:val="center"/>
              <w:rPr>
                <w:rFonts w:ascii="Times New Roman" w:hAnsi="Times New Roman"/>
                <w:kern w:val="0"/>
                <w:szCs w:val="21"/>
              </w:rPr>
            </w:pPr>
            <w:r>
              <w:rPr>
                <w:rFonts w:hint="eastAsia" w:ascii="Times New Roman" w:hAnsi="Times New Roman"/>
                <w:kern w:val="0"/>
                <w:szCs w:val="21"/>
                <w:lang w:val="en-US" w:eastAsia="zh-CN"/>
              </w:rPr>
              <w:t>4</w:t>
            </w:r>
            <w:r>
              <w:rPr>
                <w:rFonts w:ascii="Times New Roman" w:hAnsi="Times New Roman"/>
                <w:kern w:val="0"/>
                <w:szCs w:val="21"/>
              </w:rPr>
              <w:t>.0</w:t>
            </w:r>
          </w:p>
        </w:tc>
        <w:tc>
          <w:tcPr>
            <w:tcW w:w="1545" w:type="dxa"/>
            <w:vMerge w:val="continue"/>
            <w:tcBorders>
              <w:bottom w:val="single" w:color="auto" w:sz="12" w:space="0"/>
            </w:tcBorders>
            <w:vAlign w:val="center"/>
          </w:tcPr>
          <w:p>
            <w:pPr>
              <w:overflowPunct w:val="0"/>
              <w:spacing w:line="240" w:lineRule="atLeast"/>
              <w:jc w:val="center"/>
              <w:rPr>
                <w:rFonts w:ascii="Times New Roman" w:hAnsi="Times New Roman"/>
                <w:kern w:val="0"/>
                <w:szCs w:val="21"/>
              </w:rPr>
            </w:pPr>
          </w:p>
        </w:tc>
        <w:tc>
          <w:tcPr>
            <w:tcW w:w="1545" w:type="dxa"/>
            <w:tcBorders>
              <w:bottom w:val="single" w:color="auto" w:sz="12" w:space="0"/>
            </w:tcBorders>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564" w:type="dxa"/>
            <w:gridSpan w:val="4"/>
            <w:tcBorders>
              <w:left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理论课学分</w:t>
            </w:r>
          </w:p>
        </w:tc>
        <w:tc>
          <w:tcPr>
            <w:tcW w:w="1022" w:type="dxa"/>
            <w:tcBorders>
              <w:bottom w:val="single" w:color="auto" w:sz="12" w:space="0"/>
            </w:tcBorders>
            <w:vAlign w:val="center"/>
          </w:tcPr>
          <w:p>
            <w:pPr>
              <w:overflowPunct w:val="0"/>
              <w:spacing w:line="240" w:lineRule="atLeast"/>
              <w:jc w:val="center"/>
              <w:rPr>
                <w:rFonts w:ascii="Times New Roman" w:hAnsi="Times New Roman"/>
                <w:kern w:val="0"/>
                <w:szCs w:val="21"/>
              </w:rPr>
            </w:pPr>
            <w:r>
              <w:rPr>
                <w:rFonts w:ascii="Times New Roman" w:hAnsi="Times New Roman"/>
                <w:kern w:val="0"/>
                <w:szCs w:val="21"/>
              </w:rPr>
              <w:t>12</w:t>
            </w:r>
            <w:r>
              <w:rPr>
                <w:rFonts w:hint="eastAsia" w:ascii="Times New Roman" w:hAnsi="Times New Roman"/>
                <w:kern w:val="0"/>
                <w:szCs w:val="21"/>
                <w:lang w:val="en-US" w:eastAsia="zh-CN"/>
              </w:rPr>
              <w:t>3</w:t>
            </w:r>
            <w:r>
              <w:rPr>
                <w:rFonts w:ascii="Times New Roman" w:hAnsi="Times New Roman"/>
                <w:kern w:val="0"/>
                <w:szCs w:val="21"/>
              </w:rPr>
              <w:t>.88</w:t>
            </w:r>
          </w:p>
        </w:tc>
        <w:tc>
          <w:tcPr>
            <w:tcW w:w="1545" w:type="dxa"/>
            <w:tcBorders>
              <w:bottom w:val="single" w:color="auto" w:sz="12" w:space="0"/>
            </w:tcBorders>
            <w:vAlign w:val="center"/>
          </w:tcPr>
          <w:p>
            <w:pPr>
              <w:overflowPunct w:val="0"/>
              <w:spacing w:line="240" w:lineRule="atLeast"/>
              <w:jc w:val="center"/>
              <w:rPr>
                <w:rFonts w:hint="default" w:ascii="Times New Roman" w:hAnsi="Times New Roman" w:eastAsia="宋体"/>
                <w:kern w:val="0"/>
                <w:szCs w:val="21"/>
                <w:lang w:val="en-US" w:eastAsia="zh-CN"/>
              </w:rPr>
            </w:pPr>
            <w:r>
              <w:rPr>
                <w:rFonts w:ascii="Times New Roman" w:hAnsi="Times New Roman"/>
                <w:kern w:val="0"/>
                <w:szCs w:val="21"/>
              </w:rPr>
              <w:t>77.</w:t>
            </w:r>
            <w:r>
              <w:rPr>
                <w:rFonts w:hint="eastAsia" w:ascii="Times New Roman" w:hAnsi="Times New Roman"/>
                <w:kern w:val="0"/>
                <w:szCs w:val="21"/>
                <w:lang w:val="en-US" w:eastAsia="zh-CN"/>
              </w:rPr>
              <w:t>42</w:t>
            </w:r>
          </w:p>
        </w:tc>
        <w:tc>
          <w:tcPr>
            <w:tcW w:w="1545" w:type="dxa"/>
            <w:tcBorders>
              <w:bottom w:val="single" w:color="auto" w:sz="12" w:space="0"/>
            </w:tcBorders>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实践（含课内实验）总学分</w:t>
            </w:r>
          </w:p>
        </w:tc>
        <w:tc>
          <w:tcPr>
            <w:tcW w:w="1022" w:type="dxa"/>
            <w:tcBorders>
              <w:top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3</w:t>
            </w:r>
            <w:r>
              <w:rPr>
                <w:rFonts w:hint="eastAsia" w:ascii="Times New Roman" w:hAnsi="Times New Roman" w:cs="Times New Roman"/>
                <w:kern w:val="0"/>
                <w:szCs w:val="21"/>
                <w:lang w:val="en-US" w:eastAsia="zh-CN"/>
              </w:rPr>
              <w:t>6</w:t>
            </w:r>
            <w:r>
              <w:rPr>
                <w:rFonts w:ascii="Times New Roman" w:hAnsi="Times New Roman" w:cs="Times New Roman"/>
                <w:kern w:val="0"/>
                <w:szCs w:val="21"/>
              </w:rPr>
              <w:t>.12</w:t>
            </w:r>
          </w:p>
        </w:tc>
        <w:tc>
          <w:tcPr>
            <w:tcW w:w="1545" w:type="dxa"/>
            <w:tcBorders>
              <w:top w:val="single" w:color="auto" w:sz="12" w:space="0"/>
              <w:bottom w:val="single" w:color="auto" w:sz="12" w:space="0"/>
            </w:tcBorders>
            <w:vAlign w:val="center"/>
          </w:tcPr>
          <w:p>
            <w:pPr>
              <w:pStyle w:val="10"/>
              <w:spacing w:line="240" w:lineRule="atLeast"/>
              <w:ind w:firstLine="0" w:firstLineChars="0"/>
              <w:jc w:val="center"/>
              <w:rPr>
                <w:rFonts w:hint="default" w:ascii="Times New Roman" w:hAnsi="Times New Roman" w:eastAsia="宋体" w:cs="Times New Roman"/>
                <w:kern w:val="0"/>
                <w:szCs w:val="21"/>
                <w:lang w:val="en-US" w:eastAsia="zh-CN"/>
              </w:rPr>
            </w:pPr>
            <w:r>
              <w:rPr>
                <w:rFonts w:ascii="Times New Roman" w:hAnsi="Times New Roman" w:cs="Times New Roman"/>
                <w:kern w:val="0"/>
                <w:szCs w:val="21"/>
              </w:rPr>
              <w:t>22.</w:t>
            </w:r>
            <w:r>
              <w:rPr>
                <w:rFonts w:hint="eastAsia" w:ascii="Times New Roman" w:hAnsi="Times New Roman" w:cs="Times New Roman"/>
                <w:kern w:val="0"/>
                <w:szCs w:val="21"/>
                <w:lang w:val="en-US" w:eastAsia="zh-CN"/>
              </w:rPr>
              <w:t>58</w:t>
            </w:r>
          </w:p>
        </w:tc>
        <w:tc>
          <w:tcPr>
            <w:tcW w:w="1545" w:type="dxa"/>
            <w:vMerge w:val="restart"/>
            <w:tcBorders>
              <w:top w:val="single" w:color="auto" w:sz="12" w:space="0"/>
            </w:tcBorders>
            <w:vAlign w:val="center"/>
          </w:tcPr>
          <w:p>
            <w:pPr>
              <w:overflowPunct w:val="0"/>
              <w:spacing w:line="240" w:lineRule="atLeast"/>
              <w:jc w:val="center"/>
              <w:rPr>
                <w:rFonts w:ascii="Times New Roman" w:hAnsi="Times New Roman"/>
                <w:kern w:val="0"/>
                <w:szCs w:val="21"/>
              </w:rPr>
            </w:pPr>
            <w:r>
              <w:rPr>
                <w:rFonts w:ascii="Times New Roman" w:hAnsi="Times New Roman"/>
                <w:kern w:val="0"/>
                <w:szCs w:val="21"/>
              </w:rPr>
              <w:t>≥总学分20%（非理工类）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集中性实践教学环节学分</w:t>
            </w:r>
          </w:p>
        </w:tc>
        <w:tc>
          <w:tcPr>
            <w:tcW w:w="1022" w:type="dxa"/>
            <w:tcBorders>
              <w:top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w:t>
            </w:r>
            <w:r>
              <w:rPr>
                <w:rFonts w:hint="eastAsia" w:ascii="Times New Roman" w:hAnsi="Times New Roman" w:cs="Times New Roman"/>
                <w:kern w:val="0"/>
                <w:szCs w:val="21"/>
                <w:lang w:val="en-US" w:eastAsia="zh-CN"/>
              </w:rPr>
              <w:t>5</w:t>
            </w:r>
            <w:r>
              <w:rPr>
                <w:rFonts w:ascii="Times New Roman" w:hAnsi="Times New Roman" w:cs="Times New Roman"/>
                <w:kern w:val="0"/>
                <w:szCs w:val="21"/>
              </w:rPr>
              <w:t>.5</w:t>
            </w:r>
          </w:p>
        </w:tc>
        <w:tc>
          <w:tcPr>
            <w:tcW w:w="1545" w:type="dxa"/>
            <w:tcBorders>
              <w:top w:val="single" w:color="auto" w:sz="12" w:space="0"/>
              <w:bottom w:val="single" w:color="auto" w:sz="12" w:space="0"/>
            </w:tcBorders>
            <w:vAlign w:val="center"/>
          </w:tcPr>
          <w:p>
            <w:pPr>
              <w:pStyle w:val="10"/>
              <w:spacing w:line="240" w:lineRule="atLeast"/>
              <w:ind w:firstLine="0" w:firstLineChars="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9</w:t>
            </w:r>
            <w:r>
              <w:rPr>
                <w:rFonts w:ascii="Times New Roman" w:hAnsi="Times New Roman" w:cs="Times New Roman"/>
                <w:kern w:val="0"/>
                <w:szCs w:val="21"/>
              </w:rPr>
              <w:t>.</w:t>
            </w:r>
            <w:r>
              <w:rPr>
                <w:rFonts w:hint="eastAsia" w:ascii="Times New Roman" w:hAnsi="Times New Roman" w:cs="Times New Roman"/>
                <w:kern w:val="0"/>
                <w:szCs w:val="21"/>
                <w:lang w:val="en-US" w:eastAsia="zh-CN"/>
              </w:rPr>
              <w:t>69</w:t>
            </w:r>
          </w:p>
        </w:tc>
        <w:tc>
          <w:tcPr>
            <w:tcW w:w="1545" w:type="dxa"/>
            <w:vMerge w:val="continue"/>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课外科技活动学分</w:t>
            </w:r>
          </w:p>
        </w:tc>
        <w:tc>
          <w:tcPr>
            <w:tcW w:w="1022" w:type="dxa"/>
            <w:tcBorders>
              <w:top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w:t>
            </w:r>
          </w:p>
        </w:tc>
        <w:tc>
          <w:tcPr>
            <w:tcW w:w="1545" w:type="dxa"/>
            <w:tcBorders>
              <w:top w:val="single" w:color="auto" w:sz="12" w:space="0"/>
              <w:bottom w:val="single" w:color="auto" w:sz="12" w:space="0"/>
            </w:tcBorders>
            <w:vAlign w:val="center"/>
          </w:tcPr>
          <w:p>
            <w:pPr>
              <w:pStyle w:val="10"/>
              <w:spacing w:line="240" w:lineRule="atLeast"/>
              <w:ind w:firstLine="0" w:firstLineChars="0"/>
              <w:jc w:val="center"/>
              <w:rPr>
                <w:rFonts w:hint="eastAsia" w:ascii="Times New Roman" w:hAnsi="Times New Roman" w:eastAsia="宋体" w:cs="Times New Roman"/>
                <w:kern w:val="0"/>
                <w:szCs w:val="21"/>
                <w:lang w:eastAsia="zh-CN"/>
              </w:rPr>
            </w:pPr>
            <w:r>
              <w:rPr>
                <w:rFonts w:ascii="Times New Roman" w:hAnsi="Times New Roman" w:cs="Times New Roman"/>
                <w:kern w:val="0"/>
                <w:szCs w:val="21"/>
              </w:rPr>
              <w:t>0.6</w:t>
            </w:r>
            <w:r>
              <w:rPr>
                <w:rFonts w:hint="eastAsia" w:ascii="Times New Roman" w:hAnsi="Times New Roman" w:cs="Times New Roman"/>
                <w:kern w:val="0"/>
                <w:szCs w:val="21"/>
                <w:lang w:val="en-US" w:eastAsia="zh-CN"/>
              </w:rPr>
              <w:t>3</w:t>
            </w:r>
          </w:p>
        </w:tc>
        <w:tc>
          <w:tcPr>
            <w:tcW w:w="1545" w:type="dxa"/>
            <w:vMerge w:val="continue"/>
            <w:tcBorders>
              <w:bottom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top w:val="single" w:color="auto" w:sz="12" w:space="0"/>
              <w:left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毕业总学分</w:t>
            </w:r>
          </w:p>
        </w:tc>
        <w:tc>
          <w:tcPr>
            <w:tcW w:w="1022" w:type="dxa"/>
            <w:tcBorders>
              <w:top w:val="single" w:color="auto" w:sz="12" w:space="0"/>
            </w:tcBorders>
            <w:vAlign w:val="center"/>
          </w:tcPr>
          <w:p>
            <w:pPr>
              <w:pStyle w:val="10"/>
              <w:spacing w:line="240" w:lineRule="atLeast"/>
              <w:ind w:firstLine="0" w:firstLineChars="0"/>
              <w:jc w:val="center"/>
              <w:rPr>
                <w:rFonts w:hint="eastAsia" w:ascii="Times New Roman" w:hAnsi="Times New Roman" w:eastAsia="宋体" w:cs="Times New Roman"/>
                <w:kern w:val="0"/>
                <w:szCs w:val="21"/>
                <w:lang w:eastAsia="zh-CN"/>
              </w:rPr>
            </w:pPr>
            <w:r>
              <w:rPr>
                <w:rFonts w:ascii="Times New Roman" w:hAnsi="Times New Roman" w:cs="Times New Roman"/>
                <w:kern w:val="0"/>
                <w:szCs w:val="21"/>
              </w:rPr>
              <w:t>16</w:t>
            </w:r>
            <w:r>
              <w:rPr>
                <w:rFonts w:hint="eastAsia" w:ascii="Times New Roman" w:hAnsi="Times New Roman" w:cs="Times New Roman"/>
                <w:kern w:val="0"/>
                <w:szCs w:val="21"/>
                <w:lang w:val="en-US" w:eastAsia="zh-CN"/>
              </w:rPr>
              <w:t>0</w:t>
            </w:r>
          </w:p>
        </w:tc>
        <w:tc>
          <w:tcPr>
            <w:tcW w:w="1545" w:type="dxa"/>
            <w:tcBorders>
              <w:top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100</w:t>
            </w:r>
          </w:p>
        </w:tc>
        <w:tc>
          <w:tcPr>
            <w:tcW w:w="1545" w:type="dxa"/>
            <w:tcBorders>
              <w:top w:val="single" w:color="auto" w:sz="12" w:space="0"/>
            </w:tcBorders>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left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辅修学分总计</w:t>
            </w:r>
          </w:p>
        </w:tc>
        <w:tc>
          <w:tcPr>
            <w:tcW w:w="2567" w:type="dxa"/>
            <w:gridSpan w:val="2"/>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30</w:t>
            </w:r>
          </w:p>
        </w:tc>
        <w:tc>
          <w:tcPr>
            <w:tcW w:w="1545" w:type="dxa"/>
            <w:vAlign w:val="center"/>
          </w:tcPr>
          <w:p>
            <w:pPr>
              <w:overflowPunct w:val="0"/>
              <w:spacing w:line="240" w:lineRule="atLeast"/>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64" w:type="dxa"/>
            <w:gridSpan w:val="4"/>
            <w:tcBorders>
              <w:left w:val="single" w:color="auto" w:sz="12" w:space="0"/>
              <w:bottom w:val="single" w:color="auto" w:sz="12" w:space="0"/>
            </w:tcBorders>
            <w:vAlign w:val="center"/>
          </w:tcPr>
          <w:p>
            <w:pPr>
              <w:pStyle w:val="10"/>
              <w:spacing w:line="240" w:lineRule="atLeast"/>
              <w:ind w:firstLine="0" w:firstLineChars="0"/>
              <w:jc w:val="center"/>
              <w:rPr>
                <w:rFonts w:ascii="Times New Roman" w:hAnsi="Times New Roman" w:eastAsia="黑体" w:cs="Times New Roman"/>
                <w:kern w:val="0"/>
                <w:szCs w:val="21"/>
              </w:rPr>
            </w:pPr>
            <w:r>
              <w:rPr>
                <w:rFonts w:ascii="Times New Roman" w:hAnsi="Times New Roman" w:eastAsia="黑体" w:cs="Times New Roman"/>
                <w:kern w:val="0"/>
                <w:szCs w:val="21"/>
              </w:rPr>
              <w:t>双专学分总计</w:t>
            </w:r>
          </w:p>
        </w:tc>
        <w:tc>
          <w:tcPr>
            <w:tcW w:w="2567" w:type="dxa"/>
            <w:gridSpan w:val="2"/>
            <w:tcBorders>
              <w:bottom w:val="single" w:color="auto" w:sz="12" w:space="0"/>
            </w:tcBorders>
            <w:vAlign w:val="center"/>
          </w:tcPr>
          <w:p>
            <w:pPr>
              <w:pStyle w:val="10"/>
              <w:spacing w:line="240" w:lineRule="atLeast"/>
              <w:ind w:firstLine="0" w:firstLineChars="0"/>
              <w:jc w:val="center"/>
              <w:rPr>
                <w:rFonts w:ascii="Times New Roman" w:hAnsi="Times New Roman" w:cs="Times New Roman"/>
                <w:kern w:val="0"/>
                <w:szCs w:val="21"/>
              </w:rPr>
            </w:pPr>
            <w:r>
              <w:rPr>
                <w:rFonts w:ascii="Times New Roman" w:hAnsi="Times New Roman" w:cs="Times New Roman"/>
                <w:kern w:val="0"/>
                <w:szCs w:val="21"/>
              </w:rPr>
              <w:t>55</w:t>
            </w:r>
          </w:p>
        </w:tc>
        <w:tc>
          <w:tcPr>
            <w:tcW w:w="1545" w:type="dxa"/>
            <w:tcBorders>
              <w:bottom w:val="single" w:color="auto" w:sz="12" w:space="0"/>
            </w:tcBorders>
            <w:vAlign w:val="center"/>
          </w:tcPr>
          <w:p>
            <w:pPr>
              <w:overflowPunct w:val="0"/>
              <w:spacing w:line="240" w:lineRule="atLeast"/>
              <w:jc w:val="center"/>
              <w:rPr>
                <w:rFonts w:ascii="Times New Roman" w:hAnsi="Times New Roman"/>
                <w:kern w:val="0"/>
                <w:szCs w:val="21"/>
              </w:rPr>
            </w:pPr>
          </w:p>
        </w:tc>
      </w:tr>
    </w:tbl>
    <w:p>
      <w:pPr>
        <w:overflowPunct w:val="0"/>
        <w:spacing w:line="360" w:lineRule="auto"/>
        <w:ind w:firstLine="420" w:firstLineChars="200"/>
        <w:rPr>
          <w:rFonts w:ascii="Times New Roman" w:hAnsi="Times New Roman"/>
        </w:rPr>
      </w:pPr>
      <w:r>
        <w:rPr>
          <w:rFonts w:ascii="Times New Roman" w:hAnsi="Times New Roman"/>
        </w:rPr>
        <w:t>注：毕业总学分中，选修课比例不得低于30%。集中实施实践教学活动，包括但不限于军事技能、跨文化实践、毕业论文、毕业实习、创新与创业、见习、实习、社会调查等。</w:t>
      </w:r>
    </w:p>
    <w:p>
      <w:pPr>
        <w:overflowPunct w:val="0"/>
        <w:spacing w:line="360" w:lineRule="auto"/>
        <w:ind w:firstLine="480" w:firstLineChars="200"/>
        <w:rPr>
          <w:rFonts w:ascii="Times New Roman" w:hAnsi="Times New Roman"/>
          <w:kern w:val="0"/>
          <w:sz w:val="24"/>
          <w:szCs w:val="24"/>
        </w:rPr>
      </w:pPr>
      <w:r>
        <w:rPr>
          <w:rFonts w:ascii="Times New Roman" w:hAnsi="Times New Roman"/>
          <w:kern w:val="0"/>
          <w:sz w:val="24"/>
          <w:szCs w:val="24"/>
        </w:rPr>
        <w:t>2.通识选修12学分中，要求“自然∙工程∙技术”模块1学分，“文学∙历史∙哲学”模块2学分，任选模块8学分，一年级期间，学生需选修1学分的公共艺术课程。在通识选修课学分当中，需修读五史有关课程1学分。</w:t>
      </w:r>
    </w:p>
    <w:p>
      <w:pPr>
        <w:overflowPunct w:val="0"/>
        <w:spacing w:line="360" w:lineRule="auto"/>
        <w:rPr>
          <w:rFonts w:ascii="Times New Roman" w:hAnsi="Times New Roman"/>
        </w:rPr>
      </w:pPr>
    </w:p>
    <w:p>
      <w:pPr>
        <w:overflowPunct w:val="0"/>
        <w:spacing w:line="360" w:lineRule="auto"/>
        <w:ind w:firstLine="482" w:firstLineChars="200"/>
        <w:rPr>
          <w:rFonts w:ascii="Times New Roman" w:hAnsi="Times New Roman"/>
          <w:b/>
          <w:sz w:val="24"/>
          <w:szCs w:val="24"/>
        </w:rPr>
      </w:pPr>
      <w:r>
        <w:rPr>
          <w:rFonts w:ascii="Times New Roman" w:hAnsi="Times New Roman"/>
          <w:b/>
          <w:sz w:val="24"/>
          <w:szCs w:val="24"/>
        </w:rPr>
        <w:t>四、修业年限与授予学位</w:t>
      </w:r>
    </w:p>
    <w:p>
      <w:pPr>
        <w:pStyle w:val="10"/>
        <w:snapToGrid w:val="0"/>
        <w:spacing w:before="156" w:beforeLines="50" w:after="156" w:afterLines="50" w:line="360" w:lineRule="auto"/>
        <w:ind w:firstLine="470" w:firstLineChars="196"/>
        <w:jc w:val="left"/>
        <w:rPr>
          <w:rFonts w:ascii="Times New Roman" w:hAnsi="Times New Roman" w:cs="Times New Roman"/>
          <w:kern w:val="0"/>
          <w:sz w:val="24"/>
          <w:szCs w:val="24"/>
        </w:rPr>
      </w:pPr>
      <w:r>
        <w:rPr>
          <w:rFonts w:ascii="Times New Roman" w:hAnsi="Times New Roman" w:cs="Times New Roman"/>
          <w:kern w:val="0"/>
          <w:sz w:val="24"/>
          <w:szCs w:val="24"/>
        </w:rPr>
        <w:t>基本学制4年，弹性学制3-6年，符合条件的学生授予法学学士学位。</w:t>
      </w:r>
    </w:p>
    <w:p>
      <w:pPr>
        <w:numPr>
          <w:ilvl w:val="0"/>
          <w:numId w:val="2"/>
        </w:numPr>
        <w:overflowPunct w:val="0"/>
        <w:spacing w:line="360" w:lineRule="auto"/>
        <w:ind w:firstLine="482" w:firstLineChars="200"/>
        <w:rPr>
          <w:rFonts w:ascii="Times New Roman" w:hAnsi="Times New Roman"/>
          <w:b/>
          <w:sz w:val="24"/>
          <w:szCs w:val="24"/>
        </w:rPr>
      </w:pPr>
      <w:r>
        <w:rPr>
          <w:rFonts w:ascii="Times New Roman" w:hAnsi="Times New Roman"/>
          <w:b/>
          <w:sz w:val="24"/>
          <w:szCs w:val="24"/>
        </w:rPr>
        <w:t>专业核心课程</w:t>
      </w:r>
    </w:p>
    <w:p>
      <w:pPr>
        <w:snapToGrid w:val="0"/>
        <w:spacing w:line="360" w:lineRule="auto"/>
        <w:ind w:firstLine="435"/>
        <w:rPr>
          <w:rFonts w:ascii="Times New Roman" w:hAnsi="Times New Roman"/>
          <w:sz w:val="24"/>
          <w:szCs w:val="24"/>
        </w:rPr>
      </w:pPr>
      <w:r>
        <w:rPr>
          <w:rFonts w:ascii="Times New Roman" w:hAnsi="Times New Roman"/>
          <w:sz w:val="24"/>
          <w:szCs w:val="24"/>
        </w:rPr>
        <w:t>为适应二十一世纪对卓越法治人才的要求，充分体现“宽口径，厚基础，重能力，高素质”的教育发展原则，在课程设置上，按照“加强基础、拓宽专业”的精神，在遵循法学专业教学基本规律，保持法学专业特点的前提下，优化课程体系，拓展教学视野，适应社会变革，使学生毕业后能更好地服务社会。</w:t>
      </w:r>
    </w:p>
    <w:p>
      <w:pPr>
        <w:snapToGrid w:val="0"/>
        <w:spacing w:line="360" w:lineRule="auto"/>
        <w:ind w:firstLine="480"/>
        <w:rPr>
          <w:rFonts w:ascii="Times New Roman" w:hAnsi="Times New Roman"/>
          <w:b/>
          <w:sz w:val="24"/>
          <w:szCs w:val="24"/>
        </w:rPr>
      </w:pPr>
      <w:r>
        <w:rPr>
          <w:rFonts w:ascii="Times New Roman" w:hAnsi="Times New Roman"/>
          <w:sz w:val="24"/>
          <w:szCs w:val="24"/>
        </w:rPr>
        <w:t>为此，设置下列学科共同课程：习近平法治思想概论、法学专业导论、宪法学、法理学、中国法律史、民法学、刑法学、民事诉讼法、刑事诉讼法、行政法与行政诉讼法、国际法、经济法和法律职业伦理。设置下列专业核心课程：商法、知识产权法、环境资源法、国际私法、国际经济法。为了培养知识面广、工作适应能力强的复合型人才，满足学生个性化学习的需求，法学专业还设置了大量的选修课程供学生自由选学。此外，为了贯彻培养学生实践能力、创新能力和创业能力的导向，整合校内外实践教学优质资源，法学专业还设置了法制宣传教育实践、创新与创业、艺术实践、毕业实习等实践课程。</w:t>
      </w:r>
    </w:p>
    <w:p>
      <w:pPr>
        <w:numPr>
          <w:ilvl w:val="0"/>
          <w:numId w:val="2"/>
        </w:numPr>
        <w:overflowPunct w:val="0"/>
        <w:spacing w:line="360" w:lineRule="auto"/>
        <w:ind w:firstLine="482" w:firstLineChars="200"/>
        <w:rPr>
          <w:rFonts w:ascii="Times New Roman" w:hAnsi="Times New Roman"/>
          <w:b/>
          <w:sz w:val="24"/>
          <w:szCs w:val="24"/>
        </w:rPr>
      </w:pPr>
      <w:r>
        <w:rPr>
          <w:rFonts w:ascii="Times New Roman" w:hAnsi="Times New Roman"/>
          <w:b/>
          <w:sz w:val="24"/>
          <w:szCs w:val="24"/>
        </w:rPr>
        <w:t>主要实践教学环节</w:t>
      </w:r>
    </w:p>
    <w:p>
      <w:pPr>
        <w:snapToGrid w:val="0"/>
        <w:spacing w:line="360" w:lineRule="auto"/>
        <w:ind w:firstLine="480"/>
        <w:rPr>
          <w:rFonts w:ascii="Times New Roman" w:hAnsi="Times New Roman"/>
          <w:sz w:val="24"/>
          <w:szCs w:val="24"/>
        </w:rPr>
      </w:pPr>
      <w:r>
        <w:rPr>
          <w:rFonts w:ascii="Times New Roman" w:hAnsi="Times New Roman"/>
          <w:sz w:val="24"/>
          <w:szCs w:val="24"/>
        </w:rPr>
        <w:t>以卓越法治人才教育培养基地为依托，结合法学专业的目标定位与突出特点，基于全面推进依法治国、加强法治人才培养的要求，培养方案设计坚持法学教育的理论讲授与实践教学相结合导向，优化知识教学和实践教学的关系，将课堂教学与课外实践紧密结合，不断加强对学生法律实践能力的提升。变被动的接受式教学为主动的自我教学，注重学生自学能力的训练，形成有助于综合能力培养的教学体系。通过加强实践教学，缩短学生的执业适应期。通过教学实践环节的缜密设计，促进学生用法治思维和法治方式解决现实问题，进一步将学生培养为符合中国法治建设需要的实用型、复合型法治人才。</w:t>
      </w:r>
    </w:p>
    <w:p>
      <w:pPr>
        <w:snapToGrid w:val="0"/>
        <w:spacing w:line="360" w:lineRule="auto"/>
        <w:ind w:firstLine="480"/>
        <w:rPr>
          <w:rFonts w:ascii="Times New Roman" w:hAnsi="Times New Roman"/>
          <w:sz w:val="24"/>
          <w:szCs w:val="24"/>
        </w:rPr>
      </w:pPr>
      <w:r>
        <w:rPr>
          <w:rFonts w:ascii="Times New Roman" w:hAnsi="Times New Roman"/>
          <w:b/>
          <w:bCs/>
          <w:sz w:val="24"/>
          <w:szCs w:val="24"/>
        </w:rPr>
        <w:t>从实践教学内容的组织方式上，主要安排如下：</w:t>
      </w:r>
    </w:p>
    <w:p>
      <w:pPr>
        <w:snapToGrid w:val="0"/>
        <w:spacing w:line="360" w:lineRule="auto"/>
        <w:ind w:firstLine="480"/>
        <w:rPr>
          <w:rFonts w:ascii="Times New Roman" w:hAnsi="Times New Roman"/>
          <w:sz w:val="24"/>
          <w:szCs w:val="24"/>
        </w:rPr>
      </w:pPr>
      <w:r>
        <w:rPr>
          <w:rFonts w:ascii="Times New Roman" w:hAnsi="Times New Roman"/>
          <w:sz w:val="24"/>
          <w:szCs w:val="24"/>
        </w:rPr>
        <w:t>1.组织庭审观摩；</w:t>
      </w:r>
    </w:p>
    <w:p>
      <w:pPr>
        <w:spacing w:line="360" w:lineRule="auto"/>
        <w:ind w:firstLine="480" w:firstLineChars="200"/>
        <w:rPr>
          <w:rFonts w:ascii="Times New Roman" w:hAnsi="Times New Roman"/>
          <w:sz w:val="24"/>
          <w:szCs w:val="24"/>
        </w:rPr>
      </w:pPr>
      <w:r>
        <w:rPr>
          <w:rFonts w:ascii="Times New Roman" w:hAnsi="Times New Roman"/>
          <w:sz w:val="24"/>
          <w:szCs w:val="24"/>
        </w:rPr>
        <w:t>2.组织开展大学生法律职业能力竞赛(辩论赛、模拟法庭比赛、征文赛、演讲赛)、国际人道法模拟法庭竞赛（英文）、国际刑事法院模拟法庭竞赛（英文）、“杰赛普”国际法模拟法庭比赛（英文）；</w:t>
      </w:r>
    </w:p>
    <w:p>
      <w:pPr>
        <w:spacing w:line="360" w:lineRule="auto"/>
        <w:ind w:firstLine="480" w:firstLineChars="200"/>
        <w:rPr>
          <w:rFonts w:ascii="Times New Roman" w:hAnsi="Times New Roman"/>
          <w:sz w:val="24"/>
          <w:szCs w:val="24"/>
        </w:rPr>
      </w:pPr>
      <w:r>
        <w:rPr>
          <w:rFonts w:ascii="Times New Roman" w:hAnsi="Times New Roman"/>
          <w:sz w:val="24"/>
          <w:szCs w:val="24"/>
        </w:rPr>
        <w:t>3.以第二课堂的形式引入法律诊所教学；</w:t>
      </w:r>
    </w:p>
    <w:p>
      <w:pPr>
        <w:spacing w:line="360" w:lineRule="auto"/>
        <w:ind w:firstLine="480" w:firstLineChars="200"/>
        <w:rPr>
          <w:rFonts w:ascii="Times New Roman" w:hAnsi="Times New Roman"/>
          <w:sz w:val="24"/>
          <w:szCs w:val="24"/>
        </w:rPr>
      </w:pPr>
      <w:r>
        <w:rPr>
          <w:rFonts w:ascii="Times New Roman" w:hAnsi="Times New Roman"/>
          <w:sz w:val="24"/>
          <w:szCs w:val="24"/>
        </w:rPr>
        <w:t>4.采用“实务精英进课堂”“实务导师面对面”等形式，由实务精英面对面地给予学生传道授业解惑；</w:t>
      </w:r>
    </w:p>
    <w:p>
      <w:pPr>
        <w:spacing w:line="360" w:lineRule="auto"/>
        <w:ind w:firstLine="480" w:firstLineChars="200"/>
        <w:rPr>
          <w:rFonts w:ascii="Times New Roman" w:hAnsi="Times New Roman"/>
          <w:sz w:val="24"/>
          <w:szCs w:val="24"/>
        </w:rPr>
      </w:pPr>
      <w:r>
        <w:rPr>
          <w:rFonts w:ascii="Times New Roman" w:hAnsi="Times New Roman"/>
          <w:sz w:val="24"/>
          <w:szCs w:val="24"/>
        </w:rPr>
        <w:t>5.引导学生积极参加法律援助活动；</w:t>
      </w:r>
    </w:p>
    <w:p>
      <w:pPr>
        <w:spacing w:line="360" w:lineRule="auto"/>
        <w:ind w:firstLine="480" w:firstLineChars="200"/>
        <w:rPr>
          <w:rFonts w:ascii="Times New Roman" w:hAnsi="Times New Roman"/>
          <w:sz w:val="24"/>
          <w:szCs w:val="24"/>
        </w:rPr>
      </w:pPr>
      <w:r>
        <w:rPr>
          <w:rFonts w:ascii="Times New Roman" w:hAnsi="Times New Roman"/>
          <w:sz w:val="24"/>
          <w:szCs w:val="24"/>
        </w:rPr>
        <w:t>6.组织学生送法下乡、送法进社区，开展法制宣传与教育活动；</w:t>
      </w:r>
    </w:p>
    <w:p>
      <w:pPr>
        <w:spacing w:line="360" w:lineRule="auto"/>
        <w:ind w:firstLine="480" w:firstLineChars="200"/>
        <w:rPr>
          <w:rFonts w:ascii="Times New Roman" w:hAnsi="Times New Roman"/>
          <w:sz w:val="24"/>
          <w:szCs w:val="24"/>
        </w:rPr>
      </w:pPr>
      <w:r>
        <w:rPr>
          <w:rFonts w:ascii="Times New Roman" w:hAnsi="Times New Roman"/>
          <w:sz w:val="24"/>
          <w:szCs w:val="24"/>
        </w:rPr>
        <w:t>7.组织学生参观监狱、看守所、拘留所、戒毒所、未成年人管教所等刑罚执行场所，开展法制宣传与教育活动；</w:t>
      </w:r>
    </w:p>
    <w:p>
      <w:pPr>
        <w:spacing w:line="360" w:lineRule="auto"/>
        <w:ind w:firstLine="480" w:firstLineChars="200"/>
        <w:rPr>
          <w:rFonts w:ascii="Times New Roman" w:hAnsi="Times New Roman"/>
          <w:sz w:val="24"/>
          <w:szCs w:val="24"/>
        </w:rPr>
      </w:pPr>
      <w:r>
        <w:rPr>
          <w:rFonts w:ascii="Times New Roman" w:hAnsi="Times New Roman"/>
          <w:sz w:val="24"/>
          <w:szCs w:val="24"/>
        </w:rPr>
        <w:t>8.做好学生毕业实习工作，提高毕业实习质量；</w:t>
      </w:r>
    </w:p>
    <w:p>
      <w:pPr>
        <w:spacing w:line="360" w:lineRule="auto"/>
        <w:ind w:firstLine="480" w:firstLineChars="200"/>
        <w:rPr>
          <w:rFonts w:ascii="Times New Roman" w:hAnsi="Times New Roman"/>
          <w:sz w:val="24"/>
          <w:szCs w:val="24"/>
        </w:rPr>
      </w:pPr>
      <w:r>
        <w:rPr>
          <w:rFonts w:ascii="Times New Roman" w:hAnsi="Times New Roman"/>
          <w:sz w:val="24"/>
          <w:szCs w:val="24"/>
        </w:rPr>
        <w:t>9.鼓励推进创新创业实践工作；</w:t>
      </w:r>
    </w:p>
    <w:p>
      <w:pPr>
        <w:spacing w:line="360" w:lineRule="auto"/>
        <w:ind w:firstLine="480" w:firstLineChars="200"/>
        <w:rPr>
          <w:rFonts w:ascii="Times New Roman" w:hAnsi="Times New Roman"/>
          <w:sz w:val="24"/>
          <w:szCs w:val="24"/>
        </w:rPr>
      </w:pPr>
      <w:r>
        <w:rPr>
          <w:rFonts w:ascii="Times New Roman" w:hAnsi="Times New Roman"/>
          <w:sz w:val="24"/>
          <w:szCs w:val="24"/>
        </w:rPr>
        <w:t>10.不断遴选与开拓学生毕业实习实践基地。</w:t>
      </w:r>
    </w:p>
    <w:p>
      <w:pPr>
        <w:spacing w:line="360" w:lineRule="auto"/>
        <w:ind w:firstLine="482" w:firstLineChars="200"/>
        <w:rPr>
          <w:rFonts w:ascii="Times New Roman" w:hAnsi="Times New Roman"/>
          <w:sz w:val="24"/>
          <w:szCs w:val="24"/>
        </w:rPr>
      </w:pPr>
      <w:r>
        <w:rPr>
          <w:rFonts w:ascii="Times New Roman" w:hAnsi="Times New Roman"/>
          <w:b/>
          <w:bCs/>
          <w:sz w:val="24"/>
          <w:szCs w:val="24"/>
        </w:rPr>
        <w:t>具体的课时与课程安排如下</w:t>
      </w:r>
      <w:r>
        <w:rPr>
          <w:rFonts w:ascii="Times New Roman" w:hAnsi="Times New Roman"/>
          <w:sz w:val="24"/>
          <w:szCs w:val="24"/>
        </w:rPr>
        <w:t>：</w:t>
      </w:r>
    </w:p>
    <w:p>
      <w:pPr>
        <w:spacing w:line="360" w:lineRule="auto"/>
        <w:ind w:firstLine="480" w:firstLineChars="200"/>
        <w:rPr>
          <w:rFonts w:ascii="Times New Roman" w:hAnsi="Times New Roman"/>
          <w:sz w:val="24"/>
          <w:szCs w:val="24"/>
        </w:rPr>
      </w:pPr>
      <w:r>
        <w:rPr>
          <w:rFonts w:ascii="Times New Roman" w:hAnsi="Times New Roman"/>
          <w:sz w:val="24"/>
          <w:szCs w:val="24"/>
        </w:rPr>
        <w:t>1.思想政治理论课实践教学：实践课时包含在《习近平新时代中国特色社会主义思想概论》等课程中。</w:t>
      </w:r>
    </w:p>
    <w:p>
      <w:pPr>
        <w:spacing w:line="360" w:lineRule="auto"/>
        <w:ind w:firstLine="480" w:firstLineChars="200"/>
        <w:rPr>
          <w:rFonts w:ascii="Times New Roman" w:hAnsi="Times New Roman"/>
          <w:sz w:val="24"/>
          <w:szCs w:val="24"/>
        </w:rPr>
      </w:pPr>
      <w:r>
        <w:rPr>
          <w:rFonts w:ascii="Times New Roman" w:hAnsi="Times New Roman"/>
          <w:sz w:val="24"/>
          <w:szCs w:val="24"/>
        </w:rPr>
        <w:t>2.诊所法律教育概述：16周，2学分，第二学期。</w:t>
      </w:r>
    </w:p>
    <w:p>
      <w:pPr>
        <w:spacing w:line="360" w:lineRule="auto"/>
        <w:ind w:firstLine="480" w:firstLineChars="200"/>
        <w:rPr>
          <w:rFonts w:ascii="Times New Roman" w:hAnsi="Times New Roman"/>
          <w:sz w:val="24"/>
          <w:szCs w:val="24"/>
        </w:rPr>
      </w:pPr>
      <w:r>
        <w:rPr>
          <w:rFonts w:ascii="Times New Roman" w:hAnsi="Times New Roman"/>
          <w:sz w:val="24"/>
          <w:szCs w:val="24"/>
        </w:rPr>
        <w:t>3.商务谈判（英）：16周，2学分，第三学期。</w:t>
      </w:r>
    </w:p>
    <w:p>
      <w:pPr>
        <w:spacing w:line="360" w:lineRule="auto"/>
        <w:ind w:firstLine="480" w:firstLineChars="200"/>
        <w:rPr>
          <w:rFonts w:ascii="Times New Roman" w:hAnsi="Times New Roman"/>
          <w:sz w:val="24"/>
          <w:szCs w:val="24"/>
        </w:rPr>
      </w:pPr>
      <w:r>
        <w:rPr>
          <w:rFonts w:ascii="Times New Roman" w:hAnsi="Times New Roman"/>
          <w:sz w:val="24"/>
          <w:szCs w:val="24"/>
        </w:rPr>
        <w:t>4.刑事侦查学：16周，2学分，第四学期。</w:t>
      </w:r>
    </w:p>
    <w:p>
      <w:pPr>
        <w:spacing w:line="360" w:lineRule="auto"/>
        <w:ind w:firstLine="480" w:firstLineChars="200"/>
        <w:rPr>
          <w:rFonts w:ascii="Times New Roman" w:hAnsi="Times New Roman"/>
          <w:sz w:val="24"/>
          <w:szCs w:val="24"/>
        </w:rPr>
      </w:pPr>
      <w:r>
        <w:rPr>
          <w:rFonts w:ascii="Times New Roman" w:hAnsi="Times New Roman"/>
          <w:sz w:val="24"/>
          <w:szCs w:val="24"/>
        </w:rPr>
        <w:t>5.模拟法庭：16周，2学分，第四学期。</w:t>
      </w:r>
    </w:p>
    <w:p>
      <w:pPr>
        <w:spacing w:line="360" w:lineRule="auto"/>
        <w:ind w:firstLine="480" w:firstLineChars="200"/>
        <w:rPr>
          <w:rFonts w:ascii="Times New Roman" w:hAnsi="Times New Roman"/>
          <w:sz w:val="24"/>
          <w:szCs w:val="24"/>
        </w:rPr>
      </w:pPr>
      <w:r>
        <w:rPr>
          <w:rFonts w:ascii="Times New Roman" w:hAnsi="Times New Roman"/>
          <w:sz w:val="24"/>
          <w:szCs w:val="24"/>
        </w:rPr>
        <w:t>6.创新与创业：8周，1学分，第六学期。</w:t>
      </w:r>
    </w:p>
    <w:p>
      <w:pPr>
        <w:spacing w:line="360" w:lineRule="auto"/>
        <w:ind w:firstLine="480" w:firstLineChars="200"/>
        <w:rPr>
          <w:rFonts w:ascii="Times New Roman" w:hAnsi="Times New Roman"/>
          <w:sz w:val="24"/>
          <w:szCs w:val="24"/>
        </w:rPr>
      </w:pPr>
      <w:r>
        <w:rPr>
          <w:rFonts w:ascii="Times New Roman" w:hAnsi="Times New Roman"/>
          <w:sz w:val="24"/>
          <w:szCs w:val="24"/>
        </w:rPr>
        <w:t>7.律师实务：16周，2学分，第六学期。</w:t>
      </w:r>
    </w:p>
    <w:p>
      <w:pPr>
        <w:spacing w:line="360" w:lineRule="auto"/>
        <w:ind w:firstLine="480" w:firstLineChars="200"/>
        <w:rPr>
          <w:rFonts w:ascii="Times New Roman" w:hAnsi="Times New Roman"/>
          <w:sz w:val="24"/>
          <w:szCs w:val="24"/>
        </w:rPr>
      </w:pPr>
      <w:r>
        <w:rPr>
          <w:rFonts w:ascii="Times New Roman" w:hAnsi="Times New Roman"/>
          <w:sz w:val="24"/>
          <w:szCs w:val="24"/>
        </w:rPr>
        <w:t>8.行政判例研究：16周，2学分，第六学期。</w:t>
      </w:r>
    </w:p>
    <w:p>
      <w:pPr>
        <w:spacing w:line="360" w:lineRule="auto"/>
        <w:ind w:firstLine="480" w:firstLineChars="200"/>
        <w:rPr>
          <w:rFonts w:ascii="Times New Roman" w:hAnsi="Times New Roman"/>
          <w:sz w:val="24"/>
          <w:szCs w:val="24"/>
        </w:rPr>
      </w:pPr>
      <w:r>
        <w:rPr>
          <w:rFonts w:ascii="Times New Roman" w:hAnsi="Times New Roman"/>
          <w:sz w:val="24"/>
          <w:szCs w:val="24"/>
        </w:rPr>
        <w:t>9.刑事法综合实训：16周，2学分，第六学期。</w:t>
      </w:r>
    </w:p>
    <w:p>
      <w:pPr>
        <w:spacing w:line="360" w:lineRule="auto"/>
        <w:ind w:firstLine="480" w:firstLineChars="200"/>
        <w:rPr>
          <w:rFonts w:ascii="Times New Roman" w:hAnsi="Times New Roman"/>
          <w:sz w:val="24"/>
          <w:szCs w:val="24"/>
        </w:rPr>
      </w:pPr>
      <w:r>
        <w:rPr>
          <w:rFonts w:ascii="Times New Roman" w:hAnsi="Times New Roman"/>
          <w:sz w:val="24"/>
          <w:szCs w:val="24"/>
        </w:rPr>
        <w:t>10.涉外仲裁实务：16周，2学分，第六学期。</w:t>
      </w:r>
    </w:p>
    <w:p>
      <w:pPr>
        <w:spacing w:line="360" w:lineRule="auto"/>
        <w:ind w:firstLine="480" w:firstLineChars="200"/>
        <w:rPr>
          <w:rFonts w:ascii="Times New Roman" w:hAnsi="Times New Roman"/>
          <w:sz w:val="24"/>
          <w:szCs w:val="24"/>
        </w:rPr>
      </w:pPr>
      <w:r>
        <w:rPr>
          <w:rFonts w:ascii="Times New Roman" w:hAnsi="Times New Roman"/>
          <w:sz w:val="24"/>
          <w:szCs w:val="24"/>
        </w:rPr>
        <w:t>11.民商法综合实训：16周，2学分，第六学期。</w:t>
      </w:r>
    </w:p>
    <w:p>
      <w:pPr>
        <w:spacing w:line="360" w:lineRule="auto"/>
        <w:ind w:firstLine="480" w:firstLineChars="200"/>
        <w:rPr>
          <w:rFonts w:ascii="Times New Roman" w:hAnsi="Times New Roman"/>
          <w:sz w:val="24"/>
          <w:szCs w:val="24"/>
        </w:rPr>
      </w:pPr>
      <w:r>
        <w:rPr>
          <w:rFonts w:ascii="Times New Roman" w:hAnsi="Times New Roman"/>
          <w:sz w:val="24"/>
          <w:szCs w:val="24"/>
        </w:rPr>
        <w:t>12.法制宣传教育实践:4周，1.5学分，第七学期。</w:t>
      </w:r>
    </w:p>
    <w:p>
      <w:pPr>
        <w:spacing w:line="360" w:lineRule="auto"/>
        <w:ind w:firstLine="480" w:firstLineChars="200"/>
        <w:rPr>
          <w:rFonts w:ascii="Times New Roman" w:hAnsi="Times New Roman"/>
          <w:sz w:val="24"/>
          <w:szCs w:val="24"/>
        </w:rPr>
      </w:pPr>
      <w:r>
        <w:rPr>
          <w:rFonts w:ascii="Times New Roman" w:hAnsi="Times New Roman"/>
          <w:sz w:val="24"/>
          <w:szCs w:val="24"/>
        </w:rPr>
        <w:t>13.调解技能与实践：16周，2学分，第七学期。</w:t>
      </w:r>
    </w:p>
    <w:p>
      <w:pPr>
        <w:spacing w:line="360" w:lineRule="auto"/>
        <w:ind w:firstLine="480" w:firstLineChars="200"/>
        <w:rPr>
          <w:rFonts w:ascii="Times New Roman" w:hAnsi="Times New Roman"/>
          <w:sz w:val="24"/>
          <w:szCs w:val="24"/>
        </w:rPr>
      </w:pPr>
      <w:r>
        <w:rPr>
          <w:rFonts w:ascii="Times New Roman" w:hAnsi="Times New Roman"/>
          <w:sz w:val="24"/>
          <w:szCs w:val="24"/>
        </w:rPr>
        <w:t>14.行政法综合实训：16周，2学分，第七学期。</w:t>
      </w:r>
    </w:p>
    <w:p>
      <w:pPr>
        <w:spacing w:line="360" w:lineRule="auto"/>
        <w:ind w:firstLine="480" w:firstLineChars="200"/>
        <w:rPr>
          <w:rFonts w:ascii="Times New Roman" w:hAnsi="Times New Roman"/>
          <w:sz w:val="24"/>
          <w:szCs w:val="24"/>
        </w:rPr>
      </w:pPr>
      <w:r>
        <w:rPr>
          <w:rFonts w:ascii="Times New Roman" w:hAnsi="Times New Roman"/>
          <w:sz w:val="24"/>
          <w:szCs w:val="24"/>
        </w:rPr>
        <w:t>15.毕业实习：</w:t>
      </w:r>
      <w:r>
        <w:rPr>
          <w:rFonts w:hint="eastAsia" w:ascii="Times New Roman" w:hAnsi="Times New Roman"/>
          <w:sz w:val="24"/>
          <w:szCs w:val="24"/>
          <w:lang w:val="en-US" w:eastAsia="zh-CN"/>
        </w:rPr>
        <w:t>8</w:t>
      </w:r>
      <w:r>
        <w:rPr>
          <w:rFonts w:ascii="Times New Roman" w:hAnsi="Times New Roman"/>
          <w:sz w:val="24"/>
          <w:szCs w:val="24"/>
        </w:rPr>
        <w:t>周，</w:t>
      </w:r>
      <w:r>
        <w:rPr>
          <w:rFonts w:hint="eastAsia" w:ascii="Times New Roman" w:hAnsi="Times New Roman"/>
          <w:sz w:val="24"/>
          <w:szCs w:val="24"/>
          <w:lang w:val="en-US" w:eastAsia="zh-CN"/>
        </w:rPr>
        <w:t>4</w:t>
      </w:r>
      <w:r>
        <w:rPr>
          <w:rFonts w:ascii="Times New Roman" w:hAnsi="Times New Roman"/>
          <w:sz w:val="24"/>
          <w:szCs w:val="24"/>
        </w:rPr>
        <w:t>学分，第八学期。</w:t>
      </w:r>
    </w:p>
    <w:p>
      <w:pPr>
        <w:spacing w:line="360" w:lineRule="auto"/>
        <w:ind w:firstLine="480" w:firstLineChars="200"/>
        <w:rPr>
          <w:rFonts w:ascii="Times New Roman" w:hAnsi="Times New Roman"/>
          <w:sz w:val="24"/>
          <w:szCs w:val="24"/>
        </w:rPr>
      </w:pPr>
      <w:r>
        <w:rPr>
          <w:rFonts w:ascii="Times New Roman" w:hAnsi="Times New Roman"/>
          <w:sz w:val="24"/>
          <w:szCs w:val="24"/>
        </w:rPr>
        <w:t>16.毕业论文（设计）：8学分，第八学期。</w:t>
      </w:r>
    </w:p>
    <w:p>
      <w:pPr>
        <w:spacing w:line="360" w:lineRule="auto"/>
        <w:ind w:firstLine="480" w:firstLineChars="200"/>
        <w:rPr>
          <w:rFonts w:ascii="Times New Roman" w:hAnsi="Times New Roman"/>
          <w:sz w:val="24"/>
          <w:szCs w:val="24"/>
        </w:rPr>
      </w:pPr>
      <w:r>
        <w:rPr>
          <w:rFonts w:ascii="Times New Roman" w:hAnsi="Times New Roman"/>
          <w:sz w:val="24"/>
          <w:szCs w:val="24"/>
        </w:rPr>
        <w:t>17.艺术实践：共1学分，学校统一安排。</w:t>
      </w:r>
    </w:p>
    <w:p>
      <w:pPr>
        <w:overflowPunct w:val="0"/>
        <w:spacing w:line="360" w:lineRule="auto"/>
        <w:ind w:firstLine="482" w:firstLineChars="200"/>
        <w:rPr>
          <w:rFonts w:ascii="Times New Roman" w:hAnsi="Times New Roman"/>
          <w:b/>
          <w:sz w:val="24"/>
          <w:szCs w:val="24"/>
        </w:rPr>
      </w:pPr>
    </w:p>
    <w:p>
      <w:pPr>
        <w:overflowPunct w:val="0"/>
        <w:spacing w:line="360" w:lineRule="auto"/>
        <w:ind w:firstLine="482" w:firstLineChars="200"/>
        <w:rPr>
          <w:rFonts w:ascii="Times New Roman" w:hAnsi="Times New Roman"/>
          <w:b/>
          <w:sz w:val="24"/>
          <w:szCs w:val="24"/>
        </w:rPr>
      </w:pPr>
      <w:r>
        <w:rPr>
          <w:rFonts w:ascii="Times New Roman" w:hAnsi="Times New Roman"/>
          <w:b/>
          <w:sz w:val="24"/>
          <w:szCs w:val="24"/>
        </w:rPr>
        <w:t>七、课程与毕业要求对应关系表</w:t>
      </w:r>
    </w:p>
    <w:p>
      <w:pPr>
        <w:spacing w:line="360" w:lineRule="auto"/>
        <w:ind w:firstLine="480" w:firstLineChars="200"/>
        <w:rPr>
          <w:rFonts w:ascii="Times New Roman" w:hAnsi="Times New Roman"/>
          <w:sz w:val="24"/>
          <w:szCs w:val="24"/>
        </w:rPr>
      </w:pPr>
      <w:r>
        <w:rPr>
          <w:rFonts w:ascii="Times New Roman" w:hAnsi="Times New Roman"/>
          <w:sz w:val="24"/>
          <w:szCs w:val="24"/>
        </w:rPr>
        <w:t>在习近平新时代中国特色社会主义法治建设背景下，法学教育应当坚持贯彻党的二十大精神，坚持以习近平法治思想为指导，围绕中央提出的“建设一支忠于党、忠于人民、忠于法律的社会主义法治工作队伍”为人才培养的核心目标，坚持“立德树人，德法兼修”，为社会输送一批高素质法治人才。按照这一要求，培养对象在毕业时应当掌握以下技能：</w:t>
      </w:r>
    </w:p>
    <w:p>
      <w:pPr>
        <w:spacing w:line="360" w:lineRule="auto"/>
        <w:ind w:firstLine="480" w:firstLineChars="200"/>
        <w:rPr>
          <w:rFonts w:ascii="Times New Roman" w:hAnsi="Times New Roman"/>
          <w:sz w:val="24"/>
          <w:szCs w:val="24"/>
        </w:rPr>
      </w:pPr>
      <w:r>
        <w:rPr>
          <w:rFonts w:ascii="Times New Roman" w:hAnsi="Times New Roman"/>
          <w:sz w:val="24"/>
          <w:szCs w:val="24"/>
        </w:rPr>
        <w:t>能力要求1：法律思维能力。能够准确掌握法律概念和把握法律命题，较好地运用法律知识、理论、数字化思维分析问题，具有良好的法律推理、论证和决断能力。根据这一要求，培养方案设置了严谨的知识传授体系。</w:t>
      </w:r>
    </w:p>
    <w:p>
      <w:pPr>
        <w:spacing w:line="360" w:lineRule="auto"/>
        <w:ind w:firstLine="480" w:firstLineChars="200"/>
        <w:rPr>
          <w:rFonts w:ascii="Times New Roman" w:hAnsi="Times New Roman"/>
          <w:sz w:val="24"/>
          <w:szCs w:val="24"/>
        </w:rPr>
      </w:pPr>
      <w:r>
        <w:rPr>
          <w:rFonts w:ascii="Times New Roman" w:hAnsi="Times New Roman"/>
          <w:sz w:val="24"/>
          <w:szCs w:val="24"/>
        </w:rPr>
        <w:t>能力要求2：法学文献检索、资料查询能力。熟练掌握基本的法学文献检索和资料查询方法，具有较强的文献和资料收集、整理和分析能力，掌握数字化运用能力。根据这一要求，培养方案以选修课方式开设了法学论文写作等课程。</w:t>
      </w:r>
    </w:p>
    <w:p>
      <w:pPr>
        <w:spacing w:line="360" w:lineRule="auto"/>
        <w:ind w:firstLine="480" w:firstLineChars="200"/>
        <w:rPr>
          <w:rFonts w:ascii="Times New Roman" w:hAnsi="Times New Roman"/>
          <w:sz w:val="24"/>
          <w:szCs w:val="24"/>
        </w:rPr>
      </w:pPr>
      <w:r>
        <w:rPr>
          <w:rFonts w:ascii="Times New Roman" w:hAnsi="Times New Roman"/>
          <w:sz w:val="24"/>
          <w:szCs w:val="24"/>
        </w:rPr>
        <w:t>能力要求3：法律语言的口头表达与写作能力。掌握法律语言表达规范和辩论方法技巧，熟练运用法律专业语言进行表达，临场反应出色，具有较强的法律文书写作能力和法律问题论证说理能力。根据这一要求，培养方案一方面加强传统课堂教学，另一方面着重强调学生积极参加辩论赛、征文赛、演讲赛、模拟法庭比赛、法制宣传教育等教学实践活动。</w:t>
      </w:r>
    </w:p>
    <w:p>
      <w:pPr>
        <w:spacing w:line="360" w:lineRule="auto"/>
        <w:ind w:firstLine="480" w:firstLineChars="200"/>
        <w:rPr>
          <w:rFonts w:ascii="Times New Roman" w:hAnsi="Times New Roman"/>
          <w:sz w:val="24"/>
          <w:szCs w:val="24"/>
        </w:rPr>
      </w:pPr>
      <w:r>
        <w:rPr>
          <w:rFonts w:ascii="Times New Roman" w:hAnsi="Times New Roman"/>
          <w:sz w:val="24"/>
          <w:szCs w:val="24"/>
        </w:rPr>
        <w:t>能力要求4：创新创业能力。具备扎实的创新创业知识和技能，掌握进行创新创业活动的思维方法，具有一定的科学研究创新能力和一定的创业能力和探索能力。</w:t>
      </w:r>
    </w:p>
    <w:p>
      <w:pPr>
        <w:spacing w:line="360" w:lineRule="auto"/>
        <w:ind w:firstLine="480" w:firstLineChars="200"/>
        <w:rPr>
          <w:rFonts w:ascii="Times New Roman" w:hAnsi="Times New Roman"/>
          <w:sz w:val="24"/>
          <w:szCs w:val="24"/>
        </w:rPr>
      </w:pPr>
      <w:r>
        <w:rPr>
          <w:rFonts w:ascii="Times New Roman" w:hAnsi="Times New Roman"/>
          <w:sz w:val="24"/>
          <w:szCs w:val="24"/>
        </w:rPr>
        <w:t>能力要求5：社会交往与沟通协调能力。通过组织开展大学生法律职业能力竞赛(辩论赛、模拟法庭比赛、征文赛、演讲赛)、国际人道法模拟法庭竞赛（英文）、国际刑事法院模拟法庭竞赛（英文）以及法制宣传教育实践、毕业实习等相关领域的工作，让学生掌握人际关系沟通的方法技巧以及良好的语言表达能力、沟通能力和利益协调能力，加强社会交往与沟通协调能力，能够胜任调解、仲裁、诉讼等工作需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03"/>
        <w:gridCol w:w="1242"/>
        <w:gridCol w:w="1154"/>
        <w:gridCol w:w="1094"/>
        <w:gridCol w:w="131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615" w:type="dxa"/>
            <w:vMerge w:val="restart"/>
            <w:vAlign w:val="center"/>
          </w:tcPr>
          <w:p>
            <w:pPr>
              <w:widowControl/>
              <w:spacing w:line="240" w:lineRule="atLeast"/>
              <w:ind w:left="-105" w:leftChars="-50" w:right="-105" w:rightChars="-50"/>
              <w:jc w:val="center"/>
              <w:outlineLvl w:val="0"/>
              <w:rPr>
                <w:rFonts w:ascii="Times New Roman" w:hAnsi="Times New Roman" w:eastAsia="黑体"/>
                <w:kern w:val="0"/>
                <w:szCs w:val="21"/>
              </w:rPr>
            </w:pPr>
            <w:r>
              <w:rPr>
                <w:rFonts w:ascii="Times New Roman" w:hAnsi="Times New Roman" w:eastAsia="黑体"/>
                <w:kern w:val="0"/>
                <w:szCs w:val="21"/>
              </w:rPr>
              <w:t>序号</w:t>
            </w:r>
          </w:p>
        </w:tc>
        <w:tc>
          <w:tcPr>
            <w:tcW w:w="1903" w:type="dxa"/>
            <w:vMerge w:val="restart"/>
            <w:vAlign w:val="center"/>
          </w:tcPr>
          <w:p>
            <w:pPr>
              <w:widowControl/>
              <w:spacing w:line="240" w:lineRule="atLeast"/>
              <w:ind w:left="-105" w:leftChars="-50" w:right="-105" w:rightChars="-50"/>
              <w:jc w:val="center"/>
              <w:outlineLvl w:val="0"/>
              <w:rPr>
                <w:rFonts w:ascii="Times New Roman" w:hAnsi="Times New Roman" w:eastAsia="黑体"/>
                <w:kern w:val="0"/>
                <w:sz w:val="18"/>
                <w:szCs w:val="18"/>
              </w:rPr>
            </w:pPr>
            <w:r>
              <w:rPr>
                <w:rFonts w:ascii="Times New Roman" w:hAnsi="Times New Roman" w:eastAsia="黑体"/>
                <w:kern w:val="0"/>
                <w:sz w:val="18"/>
                <w:szCs w:val="18"/>
              </w:rPr>
              <w:t>课程名称</w:t>
            </w:r>
          </w:p>
        </w:tc>
        <w:tc>
          <w:tcPr>
            <w:tcW w:w="6004" w:type="dxa"/>
            <w:gridSpan w:val="5"/>
            <w:vAlign w:val="center"/>
          </w:tcPr>
          <w:p>
            <w:pPr>
              <w:widowControl/>
              <w:spacing w:line="240" w:lineRule="atLeast"/>
              <w:ind w:left="-105" w:leftChars="-50" w:right="-105" w:rightChars="-50"/>
              <w:jc w:val="center"/>
              <w:outlineLvl w:val="0"/>
              <w:rPr>
                <w:rFonts w:ascii="Times New Roman" w:hAnsi="Times New Roman" w:eastAsia="黑体"/>
                <w:szCs w:val="21"/>
              </w:rPr>
            </w:pPr>
            <w:r>
              <w:rPr>
                <w:rFonts w:ascii="Times New Roman" w:hAnsi="Times New Roman" w:eastAsia="黑体"/>
                <w:kern w:val="0"/>
                <w:szCs w:val="21"/>
              </w:rPr>
              <w:t>课程-专业毕业生能力对应关系表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615" w:type="dxa"/>
            <w:vMerge w:val="continue"/>
            <w:vAlign w:val="center"/>
          </w:tcPr>
          <w:p>
            <w:pPr>
              <w:widowControl/>
              <w:spacing w:line="240" w:lineRule="atLeast"/>
              <w:ind w:left="-105" w:leftChars="-50" w:right="-105" w:rightChars="-50"/>
              <w:jc w:val="center"/>
              <w:outlineLvl w:val="0"/>
              <w:rPr>
                <w:rFonts w:ascii="Times New Roman" w:hAnsi="Times New Roman" w:eastAsia="黑体"/>
                <w:kern w:val="0"/>
                <w:szCs w:val="21"/>
              </w:rPr>
            </w:pPr>
          </w:p>
        </w:tc>
        <w:tc>
          <w:tcPr>
            <w:tcW w:w="1903" w:type="dxa"/>
            <w:vMerge w:val="continue"/>
            <w:vAlign w:val="center"/>
          </w:tcPr>
          <w:p>
            <w:pPr>
              <w:widowControl/>
              <w:spacing w:line="240" w:lineRule="atLeast"/>
              <w:ind w:left="-105" w:leftChars="-50" w:right="-105" w:rightChars="-50"/>
              <w:jc w:val="center"/>
              <w:outlineLvl w:val="0"/>
              <w:rPr>
                <w:rFonts w:ascii="Times New Roman" w:hAnsi="Times New Roman" w:eastAsia="黑体"/>
                <w:kern w:val="0"/>
                <w:sz w:val="18"/>
                <w:szCs w:val="18"/>
              </w:rPr>
            </w:pPr>
          </w:p>
        </w:tc>
        <w:tc>
          <w:tcPr>
            <w:tcW w:w="1242" w:type="dxa"/>
            <w:vAlign w:val="center"/>
          </w:tcPr>
          <w:p>
            <w:pPr>
              <w:widowControl/>
              <w:spacing w:line="240" w:lineRule="atLeast"/>
              <w:ind w:left="-105" w:leftChars="-50" w:right="-105" w:rightChars="-50"/>
              <w:jc w:val="center"/>
              <w:outlineLvl w:val="0"/>
              <w:rPr>
                <w:rFonts w:ascii="Times New Roman" w:hAnsi="Times New Roman" w:eastAsia="黑体"/>
                <w:kern w:val="0"/>
                <w:szCs w:val="21"/>
              </w:rPr>
            </w:pPr>
            <w:r>
              <w:rPr>
                <w:rFonts w:ascii="Times New Roman" w:hAnsi="Times New Roman" w:eastAsia="黑体"/>
                <w:kern w:val="0"/>
                <w:szCs w:val="21"/>
              </w:rPr>
              <w:t>能力要求1</w:t>
            </w:r>
          </w:p>
        </w:tc>
        <w:tc>
          <w:tcPr>
            <w:tcW w:w="1154" w:type="dxa"/>
            <w:vAlign w:val="center"/>
          </w:tcPr>
          <w:p>
            <w:pPr>
              <w:widowControl/>
              <w:spacing w:line="240" w:lineRule="atLeast"/>
              <w:ind w:left="-105" w:leftChars="-50" w:right="-105" w:rightChars="-50"/>
              <w:jc w:val="center"/>
              <w:outlineLvl w:val="0"/>
              <w:rPr>
                <w:rFonts w:ascii="Times New Roman" w:hAnsi="Times New Roman" w:eastAsia="黑体"/>
                <w:kern w:val="0"/>
                <w:szCs w:val="21"/>
              </w:rPr>
            </w:pPr>
            <w:r>
              <w:rPr>
                <w:rFonts w:ascii="Times New Roman" w:hAnsi="Times New Roman" w:eastAsia="黑体"/>
                <w:kern w:val="0"/>
                <w:szCs w:val="21"/>
              </w:rPr>
              <w:t>能力要求2</w:t>
            </w:r>
          </w:p>
        </w:tc>
        <w:tc>
          <w:tcPr>
            <w:tcW w:w="1094" w:type="dxa"/>
            <w:vAlign w:val="center"/>
          </w:tcPr>
          <w:p>
            <w:pPr>
              <w:widowControl/>
              <w:spacing w:line="240" w:lineRule="atLeast"/>
              <w:ind w:left="-105" w:leftChars="-50" w:right="-105" w:rightChars="-50"/>
              <w:jc w:val="center"/>
              <w:outlineLvl w:val="0"/>
              <w:rPr>
                <w:rFonts w:ascii="Times New Roman" w:hAnsi="Times New Roman" w:eastAsia="黑体"/>
                <w:kern w:val="0"/>
                <w:szCs w:val="21"/>
              </w:rPr>
            </w:pPr>
            <w:r>
              <w:rPr>
                <w:rFonts w:ascii="Times New Roman" w:hAnsi="Times New Roman" w:eastAsia="黑体"/>
                <w:kern w:val="0"/>
                <w:szCs w:val="21"/>
              </w:rPr>
              <w:t>能力要求3</w:t>
            </w:r>
          </w:p>
        </w:tc>
        <w:tc>
          <w:tcPr>
            <w:tcW w:w="1319" w:type="dxa"/>
            <w:vAlign w:val="center"/>
          </w:tcPr>
          <w:p>
            <w:pPr>
              <w:widowControl/>
              <w:spacing w:line="240" w:lineRule="atLeast"/>
              <w:ind w:left="-105" w:leftChars="-50" w:right="-105" w:rightChars="-50"/>
              <w:jc w:val="center"/>
              <w:outlineLvl w:val="0"/>
              <w:rPr>
                <w:rFonts w:ascii="Times New Roman" w:hAnsi="Times New Roman" w:eastAsia="黑体"/>
                <w:kern w:val="0"/>
                <w:szCs w:val="21"/>
              </w:rPr>
            </w:pPr>
            <w:r>
              <w:rPr>
                <w:rFonts w:ascii="Times New Roman" w:hAnsi="Times New Roman" w:eastAsia="黑体"/>
                <w:kern w:val="0"/>
                <w:szCs w:val="21"/>
              </w:rPr>
              <w:t>能力要求4</w:t>
            </w:r>
          </w:p>
        </w:tc>
        <w:tc>
          <w:tcPr>
            <w:tcW w:w="1195" w:type="dxa"/>
            <w:vAlign w:val="center"/>
          </w:tcPr>
          <w:p>
            <w:pPr>
              <w:widowControl/>
              <w:spacing w:line="240" w:lineRule="atLeast"/>
              <w:ind w:left="-105" w:leftChars="-50" w:right="-105" w:rightChars="-50"/>
              <w:jc w:val="center"/>
              <w:outlineLvl w:val="0"/>
              <w:rPr>
                <w:rFonts w:ascii="Times New Roman" w:hAnsi="Times New Roman" w:eastAsia="黑体"/>
                <w:kern w:val="0"/>
                <w:szCs w:val="21"/>
              </w:rPr>
            </w:pPr>
            <w:r>
              <w:rPr>
                <w:rFonts w:ascii="Times New Roman" w:hAnsi="Times New Roman" w:eastAsia="黑体"/>
                <w:kern w:val="0"/>
                <w:szCs w:val="21"/>
              </w:rPr>
              <w:t>能力要求5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习近平法治思想概论</w:t>
            </w:r>
          </w:p>
        </w:tc>
        <w:tc>
          <w:tcPr>
            <w:tcW w:w="1242"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H</w:t>
            </w:r>
          </w:p>
        </w:tc>
        <w:tc>
          <w:tcPr>
            <w:tcW w:w="1154"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c>
          <w:tcPr>
            <w:tcW w:w="1094"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c>
          <w:tcPr>
            <w:tcW w:w="1319"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c>
          <w:tcPr>
            <w:tcW w:w="1195" w:type="dxa"/>
            <w:vAlign w:val="center"/>
          </w:tcPr>
          <w:p>
            <w:pPr>
              <w:widowControl/>
              <w:spacing w:line="240" w:lineRule="atLeast"/>
              <w:jc w:val="center"/>
              <w:outlineLvl w:val="0"/>
              <w:rPr>
                <w:rFonts w:ascii="Times New Roman" w:hAnsi="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宪法学</w:t>
            </w:r>
          </w:p>
        </w:tc>
        <w:tc>
          <w:tcPr>
            <w:tcW w:w="1242"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H</w:t>
            </w:r>
          </w:p>
        </w:tc>
        <w:tc>
          <w:tcPr>
            <w:tcW w:w="1154"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c>
          <w:tcPr>
            <w:tcW w:w="1094"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c>
          <w:tcPr>
            <w:tcW w:w="1319"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c>
          <w:tcPr>
            <w:tcW w:w="1195" w:type="dxa"/>
            <w:vAlign w:val="center"/>
          </w:tcPr>
          <w:p>
            <w:pPr>
              <w:widowControl/>
              <w:spacing w:line="240" w:lineRule="atLeast"/>
              <w:jc w:val="center"/>
              <w:outlineLvl w:val="0"/>
              <w:rPr>
                <w:rFonts w:ascii="Times New Roman" w:hAnsi="Times New Roman"/>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法理学导论</w:t>
            </w:r>
          </w:p>
        </w:tc>
        <w:tc>
          <w:tcPr>
            <w:tcW w:w="1242"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H</w:t>
            </w:r>
          </w:p>
        </w:tc>
        <w:tc>
          <w:tcPr>
            <w:tcW w:w="1154"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H</w:t>
            </w:r>
          </w:p>
        </w:tc>
        <w:tc>
          <w:tcPr>
            <w:tcW w:w="1094"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H</w:t>
            </w:r>
          </w:p>
        </w:tc>
        <w:tc>
          <w:tcPr>
            <w:tcW w:w="1319"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c>
          <w:tcPr>
            <w:tcW w:w="119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中国法律史</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5</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法理学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6</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法律职业伦理</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7</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法学方法论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8</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立法学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9</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法律逻辑学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10</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法律社会学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11</w:t>
            </w:r>
          </w:p>
        </w:tc>
        <w:tc>
          <w:tcPr>
            <w:tcW w:w="1903" w:type="dxa"/>
            <w:vAlign w:val="center"/>
          </w:tcPr>
          <w:p>
            <w:pPr>
              <w:widowControl/>
              <w:spacing w:line="240" w:lineRule="atLeast"/>
              <w:jc w:val="center"/>
              <w:outlineLvl w:val="0"/>
              <w:rPr>
                <w:rFonts w:ascii="Times New Roman" w:hAnsi="Times New Roman"/>
                <w:kern w:val="0"/>
                <w:sz w:val="18"/>
                <w:szCs w:val="18"/>
              </w:rPr>
            </w:pPr>
            <w:r>
              <w:rPr>
                <w:rFonts w:ascii="Times New Roman" w:hAnsi="Times New Roman"/>
                <w:kern w:val="0"/>
                <w:sz w:val="18"/>
                <w:szCs w:val="18"/>
              </w:rPr>
              <w:t>法学论文写作</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12</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民法总论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13</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民法分论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14</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商法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ind w:right="55"/>
              <w:jc w:val="center"/>
              <w:outlineLvl w:val="0"/>
              <w:rPr>
                <w:rFonts w:ascii="Times New Roman" w:hAnsi="Times New Roman"/>
                <w:kern w:val="0"/>
                <w:sz w:val="15"/>
                <w:szCs w:val="15"/>
              </w:rPr>
            </w:pPr>
            <w:r>
              <w:rPr>
                <w:rFonts w:ascii="Times New Roman" w:hAnsi="Times New Roman"/>
                <w:kern w:val="0"/>
                <w:sz w:val="15"/>
                <w:szCs w:val="15"/>
              </w:rPr>
              <w:t>15</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海商法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16</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涉外民商事争议解决</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17</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模拟法庭</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18</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合同法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19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侵权责任法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破产法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21</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票据法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22</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民商法综合实训</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23</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证券法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24</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竞争法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25</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保险法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26</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网络刑法学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27</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亲属法与继承法学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28</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网络法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29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电子证据法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数据法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31</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数字版权法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32</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娱乐法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33</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英美契约法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34</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英美公司和商法（英）</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35</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刑法总论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36</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刑法分论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37</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刑事法综合实训</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38</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经济刑法学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39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刑事侦查学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犯罪学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41</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犯罪心理学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42</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行政法与行政诉讼法总论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43</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行政法与行政诉讼法分论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44</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行政法综合实训</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45</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监察法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46</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公务员法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47</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行政判例研究</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48</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西方法律思想史</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49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宪法事例研究</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50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政府采购法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51</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国家赔偿法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widowControl/>
              <w:spacing w:line="240" w:lineRule="atLeast"/>
              <w:jc w:val="center"/>
              <w:outlineLvl w:val="0"/>
              <w:rPr>
                <w:rFonts w:ascii="Times New Roman" w:hAnsi="Times New Roman"/>
                <w:kern w:val="0"/>
                <w:sz w:val="15"/>
                <w:szCs w:val="15"/>
              </w:rPr>
            </w:pPr>
            <w:r>
              <w:rPr>
                <w:rFonts w:ascii="Times New Roman" w:hAnsi="Times New Roman"/>
                <w:kern w:val="0"/>
                <w:sz w:val="15"/>
                <w:szCs w:val="15"/>
              </w:rPr>
              <w:t>52</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行政程序法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53</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外国行政法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54</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经济法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55</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环境资源法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56</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财税法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57</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劳动与社会保障法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58</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市场监管法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59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金融法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体育法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61</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国际法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62</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国际私法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63</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国际经济法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64</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国际投资法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65</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国际经济法专题（英）</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66</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世贸组织法（英）</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67</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国际刑法学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68</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国际金融与税收法律制度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69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涉外合同写作</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国际商法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71</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法律英语（英）</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72</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刑事诉讼法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73</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民事诉讼法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74</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证据法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75</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检察学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76</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仲裁法学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77</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涉外仲裁实务</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78</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法医学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79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律师实务</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商务谈判（英）</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81</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调解技能与实践</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82</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法律文书</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83</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诊所法律教育概述</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84</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知识产权法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85</w:t>
            </w:r>
          </w:p>
        </w:tc>
        <w:tc>
          <w:tcPr>
            <w:tcW w:w="1903" w:type="dxa"/>
            <w:vAlign w:val="center"/>
          </w:tcPr>
          <w:p>
            <w:pPr>
              <w:widowControl/>
              <w:spacing w:line="240" w:lineRule="atLeast"/>
              <w:jc w:val="center"/>
              <w:textAlignment w:val="bottom"/>
              <w:outlineLvl w:val="0"/>
              <w:rPr>
                <w:rFonts w:ascii="Times New Roman" w:hAnsi="Times New Roman"/>
                <w:kern w:val="0"/>
                <w:sz w:val="18"/>
                <w:szCs w:val="18"/>
              </w:rPr>
            </w:pPr>
            <w:r>
              <w:rPr>
                <w:rFonts w:ascii="Times New Roman" w:hAnsi="Times New Roman"/>
                <w:kern w:val="0"/>
                <w:sz w:val="18"/>
                <w:szCs w:val="18"/>
              </w:rPr>
              <w:t>国际知识产权法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86</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版权法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87</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电子商务法</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88</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法学专业导论</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89</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法制宣传教育实践</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90</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毕业论文</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15" w:type="dxa"/>
            <w:vAlign w:val="center"/>
          </w:tcPr>
          <w:p>
            <w:pPr>
              <w:spacing w:line="240" w:lineRule="atLeast"/>
              <w:jc w:val="center"/>
              <w:rPr>
                <w:rFonts w:ascii="Times New Roman" w:hAnsi="Times New Roman"/>
                <w:sz w:val="15"/>
                <w:szCs w:val="15"/>
              </w:rPr>
            </w:pPr>
            <w:r>
              <w:rPr>
                <w:rFonts w:ascii="Times New Roman" w:hAnsi="Times New Roman"/>
                <w:sz w:val="15"/>
                <w:szCs w:val="15"/>
              </w:rPr>
              <w:t>91</w:t>
            </w:r>
          </w:p>
        </w:tc>
        <w:tc>
          <w:tcPr>
            <w:tcW w:w="1903" w:type="dxa"/>
            <w:vAlign w:val="center"/>
          </w:tcPr>
          <w:p>
            <w:pPr>
              <w:widowControl/>
              <w:spacing w:line="240" w:lineRule="atLeast"/>
              <w:jc w:val="center"/>
              <w:textAlignment w:val="center"/>
              <w:outlineLvl w:val="0"/>
              <w:rPr>
                <w:rFonts w:ascii="Times New Roman" w:hAnsi="Times New Roman"/>
                <w:kern w:val="0"/>
                <w:sz w:val="18"/>
                <w:szCs w:val="18"/>
              </w:rPr>
            </w:pPr>
            <w:r>
              <w:rPr>
                <w:rFonts w:ascii="Times New Roman" w:hAnsi="Times New Roman"/>
                <w:kern w:val="0"/>
                <w:sz w:val="18"/>
                <w:szCs w:val="18"/>
              </w:rPr>
              <w:t>毕业实习</w:t>
            </w:r>
          </w:p>
        </w:tc>
        <w:tc>
          <w:tcPr>
            <w:tcW w:w="1242"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15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M</w:t>
            </w:r>
          </w:p>
        </w:tc>
        <w:tc>
          <w:tcPr>
            <w:tcW w:w="1094"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c>
          <w:tcPr>
            <w:tcW w:w="1319"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L</w:t>
            </w:r>
          </w:p>
        </w:tc>
        <w:tc>
          <w:tcPr>
            <w:tcW w:w="1195" w:type="dxa"/>
            <w:vAlign w:val="center"/>
          </w:tcPr>
          <w:p>
            <w:pPr>
              <w:spacing w:line="240" w:lineRule="atLeast"/>
              <w:jc w:val="center"/>
              <w:outlineLvl w:val="0"/>
              <w:rPr>
                <w:rFonts w:ascii="Times New Roman" w:hAnsi="Times New Roman"/>
                <w:sz w:val="15"/>
                <w:szCs w:val="15"/>
              </w:rPr>
            </w:pPr>
            <w:r>
              <w:rPr>
                <w:rFonts w:ascii="Times New Roman" w:hAnsi="Times New Roman"/>
                <w:sz w:val="15"/>
                <w:szCs w:val="15"/>
              </w:rPr>
              <w:t>H</w:t>
            </w:r>
          </w:p>
        </w:tc>
      </w:tr>
    </w:tbl>
    <w:p>
      <w:pPr>
        <w:overflowPunct w:val="0"/>
        <w:spacing w:line="360" w:lineRule="auto"/>
        <w:ind w:left="420" w:leftChars="200"/>
        <w:rPr>
          <w:rFonts w:ascii="Times New Roman" w:hAnsi="Times New Roman"/>
          <w:b/>
          <w:sz w:val="24"/>
          <w:szCs w:val="24"/>
        </w:rPr>
      </w:pPr>
    </w:p>
    <w:p>
      <w:pPr>
        <w:overflowPunct w:val="0"/>
        <w:spacing w:line="360" w:lineRule="auto"/>
        <w:ind w:left="420" w:leftChars="200"/>
        <w:rPr>
          <w:rFonts w:ascii="Times New Roman" w:hAnsi="Times New Roman"/>
          <w:b/>
          <w:sz w:val="24"/>
          <w:szCs w:val="24"/>
        </w:rPr>
      </w:pPr>
      <w:r>
        <w:rPr>
          <w:rFonts w:ascii="Times New Roman" w:hAnsi="Times New Roman"/>
          <w:b/>
          <w:sz w:val="24"/>
          <w:szCs w:val="24"/>
        </w:rPr>
        <w:t>八、课程修读说明</w:t>
      </w:r>
    </w:p>
    <w:p>
      <w:pPr>
        <w:spacing w:line="360" w:lineRule="auto"/>
        <w:ind w:firstLine="480"/>
        <w:rPr>
          <w:rFonts w:ascii="Times New Roman" w:hAnsi="Times New Roman"/>
          <w:sz w:val="24"/>
          <w:szCs w:val="24"/>
        </w:rPr>
      </w:pPr>
      <w:r>
        <w:rPr>
          <w:rFonts w:ascii="Times New Roman" w:hAnsi="Times New Roman"/>
          <w:sz w:val="24"/>
          <w:szCs w:val="24"/>
        </w:rPr>
        <w:t>在把法学本科生划分四个培养方向的基础上，每个方向有共同的普通共同课、学科共同课和专业核心课，此外每个培养方向有各自特色的六门专业选修课。</w:t>
      </w:r>
    </w:p>
    <w:p>
      <w:pPr>
        <w:spacing w:line="360" w:lineRule="auto"/>
        <w:ind w:firstLine="480"/>
        <w:rPr>
          <w:rFonts w:ascii="Times New Roman" w:hAnsi="Times New Roman"/>
          <w:sz w:val="24"/>
          <w:szCs w:val="24"/>
        </w:rPr>
      </w:pPr>
      <w:r>
        <w:rPr>
          <w:rFonts w:ascii="Times New Roman" w:hAnsi="Times New Roman"/>
          <w:sz w:val="24"/>
          <w:szCs w:val="24"/>
        </w:rPr>
        <w:t>（一）普通共同课，包括大学英语、办公软件高级应用、大数据思维、大学生心理健康教育、军事理论、军事技能、习近平新时代中国特色社会主义思想概论、马克思主义基本原理、毛泽东思想和中国特色社会主义理论体系概论、思想道德与法治、体育、形势与政策教育、中国近现代史纲要等。培养学生具备扎实的政治思想素质、健康的身体心理素质，以及掌握基本的办公手段。</w:t>
      </w:r>
    </w:p>
    <w:p>
      <w:pPr>
        <w:spacing w:line="360" w:lineRule="auto"/>
        <w:ind w:firstLine="480"/>
        <w:rPr>
          <w:rFonts w:ascii="Times New Roman" w:hAnsi="Times New Roman"/>
          <w:sz w:val="24"/>
          <w:szCs w:val="24"/>
        </w:rPr>
      </w:pPr>
      <w:r>
        <w:rPr>
          <w:rFonts w:ascii="Times New Roman" w:hAnsi="Times New Roman"/>
          <w:sz w:val="24"/>
          <w:szCs w:val="24"/>
        </w:rPr>
        <w:t>（二）学科共同课，是法学专业必须学习的课程，包括习近平法治思想概论、法学专业导论、宪法学、法理学、民法学、刑法学、行政法学、民事诉讼法、刑事诉讼法、行政诉讼法、国际法、经济法、中国法律史、法律职业伦理等。培养学生掌握中外法律文化精髓，具备扎实的法律基础理论，掌握我国基本法律制度的框架，包括实体法律、程序法律的基本制度。</w:t>
      </w:r>
    </w:p>
    <w:p>
      <w:pPr>
        <w:spacing w:line="360" w:lineRule="auto"/>
        <w:ind w:firstLine="480"/>
        <w:rPr>
          <w:rFonts w:ascii="Times New Roman" w:hAnsi="Times New Roman"/>
          <w:sz w:val="24"/>
          <w:szCs w:val="24"/>
        </w:rPr>
      </w:pPr>
      <w:r>
        <w:rPr>
          <w:rFonts w:ascii="Times New Roman" w:hAnsi="Times New Roman"/>
          <w:sz w:val="24"/>
          <w:szCs w:val="24"/>
        </w:rPr>
        <w:t>（三）专业核心课，是法学专业必须学习的课程，与学科共同课地位接近，包括：商法、知识产权法、环境资源法、国际私法、国际经济法等。培养学生对我国主要法律制度的运用能力和分析能力。</w:t>
      </w:r>
    </w:p>
    <w:p>
      <w:pPr>
        <w:spacing w:line="360" w:lineRule="auto"/>
        <w:ind w:firstLine="480"/>
        <w:rPr>
          <w:rFonts w:ascii="Times New Roman" w:hAnsi="Times New Roman"/>
          <w:sz w:val="24"/>
          <w:szCs w:val="24"/>
        </w:rPr>
      </w:pPr>
      <w:r>
        <w:rPr>
          <w:rFonts w:ascii="Times New Roman" w:hAnsi="Times New Roman"/>
          <w:sz w:val="24"/>
          <w:szCs w:val="24"/>
        </w:rPr>
        <w:t>（四）涉外法务方向的6门专业选修课包括：海商法、涉外民商事争议解决、国际投资法、国际经济法专题（英）、世贸组织法（英）、国际刑法学。培养学生对国际投资、国际贸易等重要法律制度的掌握以及运用英语阅读和表达外国法律制度的能力。</w:t>
      </w:r>
    </w:p>
    <w:p>
      <w:pPr>
        <w:spacing w:line="360" w:lineRule="auto"/>
        <w:ind w:firstLine="480"/>
        <w:rPr>
          <w:rFonts w:ascii="Times New Roman" w:hAnsi="Times New Roman"/>
          <w:sz w:val="24"/>
          <w:szCs w:val="24"/>
        </w:rPr>
      </w:pPr>
      <w:r>
        <w:rPr>
          <w:rFonts w:ascii="Times New Roman" w:hAnsi="Times New Roman"/>
          <w:sz w:val="24"/>
          <w:szCs w:val="24"/>
        </w:rPr>
        <w:t>（五）司法实务方向的6门专业选修课包括：模拟法庭、证据法、侵权责任法、律师实务、刑事法综合实训、行政法综合实训。培养学生对实体及程序法律制度的掌握和应用以及对律师基本职能、权利义务、执业技巧和职业伦理的掌握。</w:t>
      </w:r>
    </w:p>
    <w:p>
      <w:pPr>
        <w:spacing w:line="360" w:lineRule="auto"/>
        <w:ind w:firstLine="480"/>
        <w:rPr>
          <w:rFonts w:ascii="Times New Roman" w:hAnsi="Times New Roman"/>
          <w:sz w:val="24"/>
          <w:szCs w:val="24"/>
        </w:rPr>
      </w:pPr>
      <w:r>
        <w:rPr>
          <w:rFonts w:ascii="Times New Roman" w:hAnsi="Times New Roman"/>
          <w:sz w:val="24"/>
          <w:szCs w:val="24"/>
        </w:rPr>
        <w:t>（六）公司法务方向的6门专业选修课包括：证券法、财税法、票据法、劳动和社会保障法、金融法、民商法综合实训。培养学生对金融、证券、票据、劳动和社会保障等知识的掌握以及处理公司纠纷的能力。</w:t>
      </w:r>
    </w:p>
    <w:p>
      <w:pPr>
        <w:spacing w:line="360" w:lineRule="auto"/>
        <w:ind w:firstLine="480"/>
        <w:rPr>
          <w:rFonts w:ascii="Times New Roman" w:hAnsi="Times New Roman" w:eastAsia="Microsoft YaHei UI"/>
          <w:sz w:val="24"/>
          <w:szCs w:val="24"/>
        </w:rPr>
      </w:pPr>
      <w:r>
        <w:rPr>
          <w:rFonts w:ascii="Times New Roman" w:hAnsi="Times New Roman"/>
          <w:sz w:val="24"/>
          <w:szCs w:val="24"/>
        </w:rPr>
        <w:t>（七）数字法学方向的6名专业选修课包括：数据法、网络法、电子证据法、电子商务法、网络刑法学、数字版权法。培养学生数字法治思维能力、认知能力、法律运用能力，培养掌握数字社会发展规律、熟练运用数字法律知识、原理与规则的专业人才。</w:t>
      </w:r>
    </w:p>
    <w:p>
      <w:pPr>
        <w:spacing w:line="360" w:lineRule="auto"/>
        <w:ind w:firstLine="480"/>
        <w:rPr>
          <w:rFonts w:ascii="Times New Roman" w:hAnsi="Times New Roman"/>
          <w:sz w:val="24"/>
          <w:szCs w:val="24"/>
        </w:rPr>
      </w:pPr>
      <w:r>
        <w:rPr>
          <w:rFonts w:ascii="Times New Roman" w:hAnsi="Times New Roman"/>
          <w:sz w:val="24"/>
          <w:szCs w:val="24"/>
        </w:rPr>
        <w:t>（八）其他选修课程：培养学生对细分法律领域例如婚姻家庭、房地产、物权法等法律知识的掌握及运用能力，培养学生对行业法律知识比如体育法等的掌握及运用能力，培养学生对具体法律实践环节的理解和应用能力，例如诊所法律教育概述、法律文书写作等课程。</w:t>
      </w:r>
    </w:p>
    <w:p>
      <w:pPr>
        <w:spacing w:line="420" w:lineRule="exact"/>
        <w:ind w:firstLine="480"/>
        <w:rPr>
          <w:rFonts w:ascii="Times New Roman" w:hAnsi="Times New Roman"/>
          <w:sz w:val="24"/>
          <w:szCs w:val="24"/>
        </w:rPr>
      </w:pPr>
    </w:p>
    <w:p>
      <w:pPr>
        <w:widowControl/>
        <w:jc w:val="left"/>
        <w:rPr>
          <w:rFonts w:ascii="Times New Roman" w:hAnsi="Times New Roman"/>
          <w:b/>
          <w:sz w:val="24"/>
          <w:szCs w:val="24"/>
        </w:rPr>
      </w:pPr>
      <w:r>
        <w:rPr>
          <w:rFonts w:ascii="Times New Roman" w:hAnsi="Times New Roman"/>
          <w:b/>
          <w:sz w:val="24"/>
          <w:szCs w:val="24"/>
        </w:rPr>
        <w:br w:type="page"/>
      </w:r>
    </w:p>
    <w:p>
      <w:pPr>
        <w:overflowPunct w:val="0"/>
        <w:spacing w:line="360" w:lineRule="auto"/>
        <w:ind w:firstLine="482" w:firstLineChars="200"/>
        <w:rPr>
          <w:rFonts w:ascii="Times New Roman" w:hAnsi="Times New Roman"/>
          <w:b/>
          <w:sz w:val="24"/>
          <w:szCs w:val="24"/>
        </w:rPr>
      </w:pPr>
      <w:r>
        <w:rPr>
          <w:rFonts w:ascii="Times New Roman" w:hAnsi="Times New Roman"/>
          <w:b/>
          <w:sz w:val="24"/>
          <w:szCs w:val="24"/>
        </w:rPr>
        <w:t>九、专业教学计划进程表（辅修、双专业教学计划进程表）</w:t>
      </w:r>
    </w:p>
    <w:tbl>
      <w:tblPr>
        <w:tblStyle w:val="6"/>
        <w:tblW w:w="111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14"/>
        <w:gridCol w:w="318"/>
        <w:gridCol w:w="318"/>
        <w:gridCol w:w="339"/>
        <w:gridCol w:w="510"/>
        <w:gridCol w:w="455"/>
        <w:gridCol w:w="963"/>
        <w:gridCol w:w="2450"/>
        <w:gridCol w:w="720"/>
        <w:gridCol w:w="626"/>
        <w:gridCol w:w="532"/>
        <w:gridCol w:w="488"/>
        <w:gridCol w:w="489"/>
        <w:gridCol w:w="557"/>
        <w:gridCol w:w="497"/>
        <w:gridCol w:w="549"/>
        <w:gridCol w:w="422"/>
        <w:gridCol w:w="4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tblHeader/>
          <w:jc w:val="center"/>
        </w:trPr>
        <w:tc>
          <w:tcPr>
            <w:tcW w:w="2454" w:type="dxa"/>
            <w:gridSpan w:val="6"/>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课程</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类别</w:t>
            </w:r>
          </w:p>
        </w:tc>
        <w:tc>
          <w:tcPr>
            <w:tcW w:w="963"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课程号</w:t>
            </w:r>
          </w:p>
        </w:tc>
        <w:tc>
          <w:tcPr>
            <w:tcW w:w="2450"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课程名称</w:t>
            </w:r>
          </w:p>
        </w:tc>
        <w:tc>
          <w:tcPr>
            <w:tcW w:w="720"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开</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课</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学</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期</w:t>
            </w:r>
          </w:p>
        </w:tc>
        <w:tc>
          <w:tcPr>
            <w:tcW w:w="626"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学</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分</w:t>
            </w:r>
          </w:p>
        </w:tc>
        <w:tc>
          <w:tcPr>
            <w:tcW w:w="2066" w:type="dxa"/>
            <w:gridSpan w:val="4"/>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学时分配表</w:t>
            </w:r>
          </w:p>
        </w:tc>
        <w:tc>
          <w:tcPr>
            <w:tcW w:w="497"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周</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学</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时</w:t>
            </w:r>
          </w:p>
        </w:tc>
        <w:tc>
          <w:tcPr>
            <w:tcW w:w="549"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辅</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修</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课</w:t>
            </w:r>
          </w:p>
        </w:tc>
        <w:tc>
          <w:tcPr>
            <w:tcW w:w="422"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二专业课</w:t>
            </w:r>
          </w:p>
        </w:tc>
        <w:tc>
          <w:tcPr>
            <w:tcW w:w="422"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tblHeader/>
          <w:jc w:val="center"/>
        </w:trPr>
        <w:tc>
          <w:tcPr>
            <w:tcW w:w="2454" w:type="dxa"/>
            <w:gridSpan w:val="6"/>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c>
          <w:tcPr>
            <w:tcW w:w="963" w:type="dxa"/>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c>
          <w:tcPr>
            <w:tcW w:w="2450" w:type="dxa"/>
            <w:vMerge w:val="continue"/>
            <w:tcBorders>
              <w:bottom w:val="single" w:color="auto" w:sz="12" w:space="0"/>
            </w:tcBorders>
            <w:tcMar>
              <w:left w:w="0" w:type="dxa"/>
              <w:right w:w="0" w:type="dxa"/>
            </w:tcMar>
            <w:vAlign w:val="center"/>
          </w:tcPr>
          <w:p>
            <w:pPr>
              <w:snapToGrid w:val="0"/>
              <w:spacing w:line="260" w:lineRule="exact"/>
              <w:rPr>
                <w:rFonts w:ascii="Times New Roman" w:hAnsi="Times New Roman"/>
                <w:sz w:val="18"/>
                <w:szCs w:val="18"/>
              </w:rPr>
            </w:pPr>
          </w:p>
        </w:tc>
        <w:tc>
          <w:tcPr>
            <w:tcW w:w="720" w:type="dxa"/>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c>
          <w:tcPr>
            <w:tcW w:w="626" w:type="dxa"/>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c>
          <w:tcPr>
            <w:tcW w:w="532" w:type="dxa"/>
            <w:tcBorders>
              <w:bottom w:val="single" w:color="auto" w:sz="12" w:space="0"/>
            </w:tcBorders>
            <w:tcMar>
              <w:left w:w="0" w:type="dxa"/>
              <w:right w:w="0" w:type="dxa"/>
            </w:tcMar>
            <w:vAlign w:val="center"/>
          </w:tcPr>
          <w:p>
            <w:pPr>
              <w:snapToGrid w:val="0"/>
              <w:spacing w:line="260" w:lineRule="exact"/>
              <w:jc w:val="center"/>
              <w:rPr>
                <w:rFonts w:ascii="Times New Roman" w:hAnsi="Times New Roman" w:eastAsia="方正大标宋简体"/>
                <w:sz w:val="18"/>
                <w:szCs w:val="18"/>
              </w:rPr>
            </w:pPr>
            <w:r>
              <w:rPr>
                <w:rFonts w:ascii="Times New Roman" w:hAnsi="Times New Roman" w:eastAsia="方正大标宋简体"/>
                <w:sz w:val="18"/>
                <w:szCs w:val="18"/>
              </w:rPr>
              <w:t>理论</w:t>
            </w:r>
          </w:p>
        </w:tc>
        <w:tc>
          <w:tcPr>
            <w:tcW w:w="488" w:type="dxa"/>
            <w:tcBorders>
              <w:bottom w:val="single" w:color="auto" w:sz="12" w:space="0"/>
            </w:tcBorders>
            <w:tcMar>
              <w:left w:w="0" w:type="dxa"/>
              <w:right w:w="0" w:type="dxa"/>
            </w:tcMar>
            <w:vAlign w:val="center"/>
          </w:tcPr>
          <w:p>
            <w:pPr>
              <w:snapToGrid w:val="0"/>
              <w:spacing w:line="260" w:lineRule="exact"/>
              <w:jc w:val="center"/>
              <w:rPr>
                <w:rFonts w:ascii="Times New Roman" w:hAnsi="Times New Roman" w:eastAsia="方正大标宋简体"/>
                <w:sz w:val="18"/>
                <w:szCs w:val="18"/>
              </w:rPr>
            </w:pPr>
            <w:r>
              <w:rPr>
                <w:rFonts w:ascii="Times New Roman" w:hAnsi="Times New Roman" w:eastAsia="方正大标宋简体"/>
                <w:sz w:val="18"/>
                <w:szCs w:val="18"/>
              </w:rPr>
              <w:t>实验</w:t>
            </w:r>
          </w:p>
        </w:tc>
        <w:tc>
          <w:tcPr>
            <w:tcW w:w="489" w:type="dxa"/>
            <w:tcBorders>
              <w:bottom w:val="single" w:color="auto" w:sz="12" w:space="0"/>
            </w:tcBorders>
            <w:tcMar>
              <w:left w:w="0" w:type="dxa"/>
              <w:right w:w="0" w:type="dxa"/>
            </w:tcMar>
            <w:vAlign w:val="center"/>
          </w:tcPr>
          <w:p>
            <w:pPr>
              <w:snapToGrid w:val="0"/>
              <w:spacing w:line="260" w:lineRule="exact"/>
              <w:jc w:val="center"/>
              <w:rPr>
                <w:rFonts w:ascii="Times New Roman" w:hAnsi="Times New Roman" w:eastAsia="方正大标宋简体"/>
                <w:sz w:val="18"/>
                <w:szCs w:val="18"/>
              </w:rPr>
            </w:pPr>
            <w:r>
              <w:rPr>
                <w:rFonts w:ascii="Times New Roman" w:hAnsi="Times New Roman" w:eastAsia="方正大标宋简体"/>
                <w:sz w:val="18"/>
                <w:szCs w:val="18"/>
              </w:rPr>
              <w:t>实习</w:t>
            </w:r>
          </w:p>
        </w:tc>
        <w:tc>
          <w:tcPr>
            <w:tcW w:w="557" w:type="dxa"/>
            <w:tcBorders>
              <w:bottom w:val="single" w:color="auto" w:sz="12" w:space="0"/>
            </w:tcBorders>
            <w:vAlign w:val="center"/>
          </w:tcPr>
          <w:p>
            <w:pPr>
              <w:snapToGrid w:val="0"/>
              <w:spacing w:line="260" w:lineRule="exact"/>
              <w:jc w:val="center"/>
              <w:rPr>
                <w:rFonts w:ascii="Times New Roman" w:hAnsi="Times New Roman"/>
                <w:sz w:val="18"/>
                <w:szCs w:val="18"/>
              </w:rPr>
            </w:pPr>
            <w:r>
              <w:rPr>
                <w:rFonts w:ascii="Times New Roman" w:hAnsi="Times New Roman" w:eastAsia="方正大标宋简体"/>
                <w:sz w:val="18"/>
                <w:szCs w:val="18"/>
              </w:rPr>
              <w:t>劳动</w:t>
            </w:r>
          </w:p>
        </w:tc>
        <w:tc>
          <w:tcPr>
            <w:tcW w:w="497" w:type="dxa"/>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c>
          <w:tcPr>
            <w:tcW w:w="549" w:type="dxa"/>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c>
          <w:tcPr>
            <w:tcW w:w="422" w:type="dxa"/>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c>
          <w:tcPr>
            <w:tcW w:w="422" w:type="dxa"/>
            <w:vMerge w:val="continue"/>
            <w:tcBorders>
              <w:bottom w:val="single" w:color="auto" w:sz="12" w:space="0"/>
            </w:tcBorders>
            <w:tcMar>
              <w:left w:w="0" w:type="dxa"/>
              <w:right w:w="0" w:type="dxa"/>
            </w:tcMar>
            <w:vAlign w:val="center"/>
          </w:tcPr>
          <w:p>
            <w:pPr>
              <w:snapToGrid w:val="0"/>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课堂教学</w:t>
            </w:r>
          </w:p>
        </w:tc>
        <w:tc>
          <w:tcPr>
            <w:tcW w:w="318"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必修</w:t>
            </w:r>
          </w:p>
        </w:tc>
        <w:tc>
          <w:tcPr>
            <w:tcW w:w="657" w:type="dxa"/>
            <w:gridSpan w:val="2"/>
            <w:vMerge w:val="restart"/>
            <w:shd w:val="clear" w:color="auto" w:fill="FFFFFF" w:themeFill="background1"/>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普通共同课</w:t>
            </w:r>
          </w:p>
        </w:tc>
        <w:tc>
          <w:tcPr>
            <w:tcW w:w="965" w:type="dxa"/>
            <w:gridSpan w:val="2"/>
            <w:vMerge w:val="restart"/>
            <w:shd w:val="clear" w:color="auto" w:fill="FFFFFF" w:themeFill="background1"/>
            <w:vAlign w:val="center"/>
          </w:tcPr>
          <w:p>
            <w:pPr>
              <w:snapToGrid w:val="0"/>
              <w:spacing w:line="260" w:lineRule="exact"/>
              <w:jc w:val="center"/>
              <w:rPr>
                <w:rFonts w:ascii="Times New Roman" w:hAnsi="Times New Roman" w:eastAsiaTheme="minorEastAsia"/>
                <w:kern w:val="0"/>
                <w:sz w:val="18"/>
                <w:szCs w:val="18"/>
              </w:rPr>
            </w:pPr>
            <w:r>
              <w:rPr>
                <w:rFonts w:ascii="Times New Roman" w:hAnsi="Times New Roman" w:eastAsiaTheme="minorEastAsia"/>
                <w:kern w:val="0"/>
                <w:sz w:val="18"/>
                <w:szCs w:val="18"/>
              </w:rPr>
              <w:t>思想政治理论类</w:t>
            </w: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IPT014</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习近平新时代中国特色社会主义思想概论</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40</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8</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IPT009</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形势与政策教育</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64</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4</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IPT011</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中国近现代史纲要</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IPT013</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思想道德与法治</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IPT012</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马克思主义基本原理</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40</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8</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IPT010</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毛泽东思想和中国特色社会主义理论体系概论</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restart"/>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军事体育类</w:t>
            </w: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MPE001</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军事理论</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2</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MPE003</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体育(一)</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2</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MPE004</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体育(二)</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2</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MPE005</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体育(三)</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2</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shd w:val="clear" w:color="auto" w:fill="FFFFFF" w:themeFill="background1"/>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MPE006</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体育(四)</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2</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510" w:type="dxa"/>
            <w:vMerge w:val="restart"/>
            <w:shd w:val="clear" w:color="auto" w:fill="FFFFFF" w:themeFill="background1"/>
            <w:vAlign w:val="center"/>
          </w:tcPr>
          <w:p>
            <w:pPr>
              <w:snapToGrid w:val="0"/>
              <w:spacing w:line="220" w:lineRule="exact"/>
              <w:jc w:val="center"/>
              <w:rPr>
                <w:rFonts w:ascii="Times New Roman" w:hAnsi="Times New Roman"/>
                <w:sz w:val="18"/>
                <w:szCs w:val="18"/>
              </w:rPr>
            </w:pPr>
            <w:r>
              <w:rPr>
                <w:rFonts w:ascii="Times New Roman" w:hAnsi="Times New Roman"/>
                <w:sz w:val="18"/>
                <w:szCs w:val="18"/>
              </w:rPr>
              <w:t>外</w:t>
            </w:r>
          </w:p>
          <w:p>
            <w:pPr>
              <w:snapToGrid w:val="0"/>
              <w:spacing w:line="220" w:lineRule="exact"/>
              <w:jc w:val="center"/>
              <w:rPr>
                <w:rFonts w:ascii="Times New Roman" w:hAnsi="Times New Roman"/>
                <w:sz w:val="18"/>
                <w:szCs w:val="18"/>
              </w:rPr>
            </w:pPr>
            <w:r>
              <w:rPr>
                <w:rFonts w:ascii="Times New Roman" w:hAnsi="Times New Roman"/>
                <w:sz w:val="18"/>
                <w:szCs w:val="18"/>
              </w:rPr>
              <w:t>语</w:t>
            </w:r>
          </w:p>
          <w:p>
            <w:pPr>
              <w:snapToGrid w:val="0"/>
              <w:spacing w:line="220" w:lineRule="exact"/>
              <w:jc w:val="center"/>
              <w:rPr>
                <w:rFonts w:ascii="Times New Roman" w:hAnsi="Times New Roman"/>
                <w:sz w:val="18"/>
                <w:szCs w:val="18"/>
              </w:rPr>
            </w:pPr>
            <w:r>
              <w:rPr>
                <w:rFonts w:ascii="Times New Roman" w:hAnsi="Times New Roman"/>
                <w:sz w:val="18"/>
                <w:szCs w:val="18"/>
              </w:rPr>
              <w:t>模</w:t>
            </w:r>
          </w:p>
          <w:p>
            <w:pPr>
              <w:snapToGrid w:val="0"/>
              <w:spacing w:line="220" w:lineRule="exact"/>
              <w:jc w:val="center"/>
              <w:rPr>
                <w:rFonts w:ascii="Times New Roman" w:hAnsi="Times New Roman"/>
                <w:sz w:val="18"/>
                <w:szCs w:val="18"/>
              </w:rPr>
            </w:pPr>
            <w:r>
              <w:rPr>
                <w:rFonts w:ascii="Times New Roman" w:hAnsi="Times New Roman"/>
                <w:sz w:val="18"/>
                <w:szCs w:val="18"/>
              </w:rPr>
              <w:t>块</w:t>
            </w:r>
          </w:p>
        </w:tc>
        <w:tc>
          <w:tcPr>
            <w:tcW w:w="455" w:type="dxa"/>
            <w:vMerge w:val="restart"/>
            <w:shd w:val="clear" w:color="auto" w:fill="FFFFFF" w:themeFill="background1"/>
            <w:vAlign w:val="center"/>
          </w:tcPr>
          <w:p>
            <w:pPr>
              <w:snapToGrid w:val="0"/>
              <w:spacing w:line="220" w:lineRule="exact"/>
              <w:jc w:val="center"/>
              <w:rPr>
                <w:rFonts w:ascii="Times New Roman" w:hAnsi="Times New Roman"/>
                <w:sz w:val="18"/>
                <w:szCs w:val="18"/>
              </w:rPr>
            </w:pPr>
            <w:r>
              <w:rPr>
                <w:rFonts w:ascii="Times New Roman" w:hAnsi="Times New Roman"/>
                <w:sz w:val="18"/>
                <w:szCs w:val="18"/>
              </w:rPr>
              <w:t>英</w:t>
            </w:r>
          </w:p>
          <w:p>
            <w:pPr>
              <w:snapToGrid w:val="0"/>
              <w:spacing w:line="220" w:lineRule="exact"/>
              <w:jc w:val="center"/>
              <w:rPr>
                <w:rFonts w:ascii="Times New Roman" w:hAnsi="Times New Roman"/>
                <w:sz w:val="18"/>
                <w:szCs w:val="18"/>
              </w:rPr>
            </w:pPr>
            <w:r>
              <w:rPr>
                <w:rFonts w:ascii="Times New Roman" w:hAnsi="Times New Roman"/>
                <w:sz w:val="18"/>
                <w:szCs w:val="18"/>
              </w:rPr>
              <w:t>语</w:t>
            </w:r>
          </w:p>
          <w:p>
            <w:pPr>
              <w:snapToGrid w:val="0"/>
              <w:spacing w:line="220" w:lineRule="exact"/>
              <w:jc w:val="center"/>
              <w:rPr>
                <w:rFonts w:ascii="Times New Roman" w:hAnsi="Times New Roman"/>
                <w:sz w:val="18"/>
                <w:szCs w:val="18"/>
              </w:rPr>
            </w:pPr>
            <w:r>
              <w:rPr>
                <w:rFonts w:ascii="Times New Roman" w:hAnsi="Times New Roman"/>
                <w:sz w:val="18"/>
                <w:szCs w:val="18"/>
              </w:rPr>
              <w:t>必</w:t>
            </w:r>
          </w:p>
          <w:p>
            <w:pPr>
              <w:snapToGrid w:val="0"/>
              <w:spacing w:line="220" w:lineRule="exact"/>
              <w:jc w:val="center"/>
              <w:rPr>
                <w:rFonts w:ascii="Times New Roman" w:hAnsi="Times New Roman"/>
                <w:sz w:val="18"/>
                <w:szCs w:val="18"/>
              </w:rPr>
            </w:pPr>
            <w:r>
              <w:rPr>
                <w:rFonts w:ascii="Times New Roman" w:hAnsi="Times New Roman"/>
                <w:sz w:val="18"/>
                <w:szCs w:val="18"/>
              </w:rPr>
              <w:t>修</w:t>
            </w:r>
          </w:p>
          <w:p>
            <w:pPr>
              <w:snapToGrid w:val="0"/>
              <w:spacing w:line="220" w:lineRule="exact"/>
              <w:jc w:val="center"/>
              <w:rPr>
                <w:rFonts w:ascii="Times New Roman" w:hAnsi="Times New Roman"/>
                <w:sz w:val="18"/>
                <w:szCs w:val="18"/>
              </w:rPr>
            </w:pPr>
            <w:r>
              <w:rPr>
                <w:rFonts w:ascii="Times New Roman" w:hAnsi="Times New Roman"/>
                <w:sz w:val="18"/>
                <w:szCs w:val="18"/>
              </w:rPr>
              <w:t>模</w:t>
            </w:r>
          </w:p>
          <w:p>
            <w:pPr>
              <w:snapToGrid w:val="0"/>
              <w:spacing w:line="220" w:lineRule="exact"/>
              <w:jc w:val="center"/>
              <w:rPr>
                <w:rFonts w:ascii="Times New Roman" w:hAnsi="Times New Roman"/>
                <w:sz w:val="18"/>
                <w:szCs w:val="18"/>
              </w:rPr>
            </w:pPr>
            <w:r>
              <w:rPr>
                <w:rFonts w:ascii="Times New Roman" w:hAnsi="Times New Roman"/>
                <w:sz w:val="18"/>
                <w:szCs w:val="18"/>
              </w:rPr>
              <w:t>块</w:t>
            </w: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FLG003</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大学英语（3）</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510" w:type="dxa"/>
            <w:vMerge w:val="continue"/>
            <w:shd w:val="clear" w:color="auto" w:fill="FFFFFF" w:themeFill="background1"/>
            <w:vAlign w:val="center"/>
          </w:tcPr>
          <w:p>
            <w:pPr>
              <w:snapToGrid w:val="0"/>
              <w:spacing w:line="220" w:lineRule="exact"/>
              <w:jc w:val="center"/>
              <w:rPr>
                <w:rFonts w:ascii="Times New Roman" w:hAnsi="Times New Roman"/>
                <w:sz w:val="18"/>
                <w:szCs w:val="18"/>
              </w:rPr>
            </w:pPr>
          </w:p>
        </w:tc>
        <w:tc>
          <w:tcPr>
            <w:tcW w:w="455" w:type="dxa"/>
            <w:vMerge w:val="continue"/>
            <w:shd w:val="clear" w:color="auto" w:fill="FFFFFF" w:themeFill="background1"/>
            <w:vAlign w:val="center"/>
          </w:tcPr>
          <w:p>
            <w:pPr>
              <w:snapToGrid w:val="0"/>
              <w:spacing w:line="22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FLG004</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大学英语（4）</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510" w:type="dxa"/>
            <w:vMerge w:val="continue"/>
            <w:shd w:val="clear" w:color="auto" w:fill="FFFFFF" w:themeFill="background1"/>
            <w:vAlign w:val="center"/>
          </w:tcPr>
          <w:p>
            <w:pPr>
              <w:snapToGrid w:val="0"/>
              <w:spacing w:line="220" w:lineRule="exact"/>
              <w:jc w:val="center"/>
              <w:rPr>
                <w:rFonts w:ascii="Times New Roman" w:hAnsi="Times New Roman"/>
                <w:sz w:val="18"/>
                <w:szCs w:val="18"/>
              </w:rPr>
            </w:pPr>
          </w:p>
        </w:tc>
        <w:tc>
          <w:tcPr>
            <w:tcW w:w="455" w:type="dxa"/>
            <w:vMerge w:val="restart"/>
            <w:shd w:val="clear" w:color="auto" w:fill="FFFFFF" w:themeFill="background1"/>
            <w:vAlign w:val="center"/>
          </w:tcPr>
          <w:p>
            <w:pPr>
              <w:snapToGrid w:val="0"/>
              <w:spacing w:line="220" w:lineRule="exact"/>
              <w:jc w:val="center"/>
              <w:rPr>
                <w:rFonts w:ascii="Times New Roman" w:hAnsi="Times New Roman"/>
                <w:sz w:val="18"/>
                <w:szCs w:val="18"/>
              </w:rPr>
            </w:pPr>
            <w:r>
              <w:rPr>
                <w:rFonts w:ascii="Times New Roman" w:hAnsi="Times New Roman"/>
                <w:sz w:val="18"/>
                <w:szCs w:val="18"/>
              </w:rPr>
              <w:t>任选外语类模块</w:t>
            </w: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color w:val="333333"/>
                <w:sz w:val="18"/>
                <w:szCs w:val="18"/>
                <w:shd w:val="clear" w:color="auto" w:fill="FFFFFF"/>
              </w:rPr>
              <w:t>FLG002</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color w:val="333333"/>
                <w:sz w:val="18"/>
                <w:szCs w:val="18"/>
                <w:shd w:val="clear" w:color="auto" w:fill="FFFFFF"/>
              </w:rPr>
              <w:t>大学英语(2)</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510" w:type="dxa"/>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455" w:type="dxa"/>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color w:val="333333"/>
                <w:sz w:val="18"/>
                <w:szCs w:val="18"/>
                <w:shd w:val="clear" w:color="auto" w:fill="FFFFFF"/>
              </w:rPr>
              <w:t>FLG018</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color w:val="333333"/>
                <w:sz w:val="18"/>
                <w:szCs w:val="18"/>
                <w:shd w:val="clear" w:color="auto" w:fill="FFFFFF"/>
              </w:rPr>
              <w:t>二外日语(1)</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510" w:type="dxa"/>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455" w:type="dxa"/>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color w:val="333333"/>
                <w:sz w:val="18"/>
                <w:szCs w:val="18"/>
                <w:shd w:val="clear" w:color="auto" w:fill="FFFFFF"/>
              </w:rPr>
              <w:t>FLG034</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color w:val="333333"/>
                <w:sz w:val="18"/>
                <w:szCs w:val="18"/>
                <w:shd w:val="clear" w:color="auto" w:fill="FFFFFF"/>
              </w:rPr>
              <w:t>考研英语</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510" w:type="dxa"/>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455" w:type="dxa"/>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color w:val="333333"/>
                <w:sz w:val="18"/>
                <w:szCs w:val="18"/>
                <w:shd w:val="clear" w:color="auto" w:fill="FFFFFF"/>
              </w:rPr>
              <w:t>FLG039</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color w:val="333333"/>
                <w:sz w:val="18"/>
                <w:szCs w:val="18"/>
                <w:shd w:val="clear" w:color="auto" w:fill="FFFFFF"/>
              </w:rPr>
              <w:t>雅思英语</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3</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restart"/>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“数字+”</w:t>
            </w:r>
          </w:p>
          <w:p>
            <w:pPr>
              <w:snapToGrid w:val="0"/>
              <w:spacing w:line="260" w:lineRule="exact"/>
              <w:jc w:val="center"/>
              <w:rPr>
                <w:rFonts w:ascii="Times New Roman" w:hAnsi="Times New Roman"/>
                <w:sz w:val="18"/>
                <w:szCs w:val="18"/>
              </w:rPr>
            </w:pPr>
            <w:r>
              <w:rPr>
                <w:rFonts w:ascii="Times New Roman" w:hAnsi="Times New Roman"/>
                <w:sz w:val="18"/>
                <w:szCs w:val="18"/>
              </w:rPr>
              <w:t>类</w:t>
            </w: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CMP002</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办公软件高级应用</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rPr>
            </w:pPr>
            <w:r>
              <w:rPr>
                <w:rFonts w:ascii="Times New Roman" w:hAnsi="Times New Roman"/>
                <w:sz w:val="18"/>
                <w:szCs w:val="18"/>
              </w:rPr>
              <w:t>4</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color w:val="333333"/>
                <w:sz w:val="18"/>
                <w:szCs w:val="18"/>
                <w:shd w:val="clear" w:color="auto" w:fill="FFFFFF"/>
              </w:rPr>
              <w:t>STA076</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color w:val="333333"/>
                <w:sz w:val="18"/>
                <w:szCs w:val="18"/>
                <w:shd w:val="clear" w:color="auto" w:fill="FFFFFF"/>
              </w:rPr>
              <w:t>统计思想</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2</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心理健康教育课</w:t>
            </w: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MHC002</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大学生心理健康</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2</w:t>
            </w:r>
          </w:p>
        </w:tc>
        <w:tc>
          <w:tcPr>
            <w:tcW w:w="549"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restart"/>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职业发展与就业指导课</w:t>
            </w: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CDE001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大学生职业发展规划</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0.5</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488" w:type="dxa"/>
            <w:tcBorders>
              <w:right w:val="single" w:color="auto" w:sz="4"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tcBorders>
              <w:left w:val="single" w:color="auto" w:sz="4"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1</w:t>
            </w:r>
          </w:p>
        </w:tc>
        <w:tc>
          <w:tcPr>
            <w:tcW w:w="549"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snapToGrid w:val="0"/>
              <w:spacing w:line="260" w:lineRule="exact"/>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CDE002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大学生就业与创业指导</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0.5</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1</w:t>
            </w:r>
          </w:p>
        </w:tc>
        <w:tc>
          <w:tcPr>
            <w:tcW w:w="549"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57"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657" w:type="dxa"/>
            <w:gridSpan w:val="2"/>
            <w:vAlign w:val="center"/>
          </w:tcPr>
          <w:p>
            <w:pPr>
              <w:snapToGrid w:val="0"/>
              <w:spacing w:line="260" w:lineRule="exact"/>
              <w:jc w:val="center"/>
              <w:rPr>
                <w:rFonts w:ascii="Times New Roman" w:hAnsi="Times New Roman" w:eastAsia="方正大标宋简体"/>
                <w:sz w:val="18"/>
                <w:szCs w:val="18"/>
              </w:rPr>
            </w:pPr>
          </w:p>
        </w:tc>
        <w:tc>
          <w:tcPr>
            <w:tcW w:w="965" w:type="dxa"/>
            <w:gridSpan w:val="2"/>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创业教育类</w:t>
            </w: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CDE004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创业基础实训（文）</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16</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restart"/>
            <w:vAlign w:val="center"/>
          </w:tcPr>
          <w:p>
            <w:pPr>
              <w:jc w:val="center"/>
              <w:rPr>
                <w:rFonts w:ascii="Times New Roman" w:hAnsi="Times New Roman"/>
              </w:rPr>
            </w:pPr>
            <w:r>
              <w:rPr>
                <w:rFonts w:ascii="Times New Roman" w:hAnsi="Times New Roman" w:eastAsia="黑体"/>
                <w:kern w:val="0"/>
                <w:szCs w:val="21"/>
              </w:rPr>
              <w:t>学科共同课</w:t>
            </w: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法学专业导论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宪法学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法理学导论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中国法律史</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法理学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民法总论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刑法总论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行政法与行政诉讼法总论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LAW107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习近平法治思想概论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民法分论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LAW009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刑法分论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刑事诉讼法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64</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4</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行政法与行政诉讼法分论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民事诉讼法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64</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4</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经济法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57"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法律职业伦理</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restart"/>
            <w:vAlign w:val="center"/>
          </w:tcPr>
          <w:p>
            <w:pPr>
              <w:snapToGrid w:val="0"/>
              <w:spacing w:line="260" w:lineRule="exact"/>
              <w:jc w:val="center"/>
              <w:rPr>
                <w:rFonts w:ascii="Times New Roman" w:hAnsi="Times New Roman"/>
              </w:rPr>
            </w:pPr>
            <w:r>
              <w:rPr>
                <w:rFonts w:ascii="Times New Roman" w:hAnsi="Times New Roman" w:eastAsia="黑体"/>
                <w:kern w:val="0"/>
                <w:szCs w:val="21"/>
              </w:rPr>
              <w:t>专业核心课</w:t>
            </w: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商法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知识产权法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LAW019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环境资源法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国际私法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1622" w:type="dxa"/>
            <w:gridSpan w:val="4"/>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国际经济法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选修</w:t>
            </w:r>
          </w:p>
        </w:tc>
        <w:tc>
          <w:tcPr>
            <w:tcW w:w="318" w:type="dxa"/>
            <w:vMerge w:val="restart"/>
            <w:vAlign w:val="center"/>
          </w:tcPr>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专业选修课</w:t>
            </w:r>
          </w:p>
        </w:tc>
        <w:tc>
          <w:tcPr>
            <w:tcW w:w="339" w:type="dxa"/>
            <w:vMerge w:val="restart"/>
            <w:vAlign w:val="center"/>
          </w:tcPr>
          <w:p>
            <w:pPr>
              <w:snapToGrid w:val="0"/>
              <w:spacing w:line="260" w:lineRule="exact"/>
              <w:jc w:val="center"/>
              <w:rPr>
                <w:rFonts w:ascii="Times New Roman" w:hAnsi="Times New Roman" w:eastAsia="黑体"/>
                <w:kern w:val="0"/>
                <w:szCs w:val="21"/>
              </w:rPr>
            </w:pP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方</w:t>
            </w:r>
          </w:p>
          <w:p>
            <w:pPr>
              <w:snapToGrid w:val="0"/>
              <w:spacing w:line="260" w:lineRule="exact"/>
              <w:jc w:val="center"/>
              <w:rPr>
                <w:rFonts w:ascii="Times New Roman" w:hAnsi="Times New Roman" w:eastAsia="黑体"/>
                <w:kern w:val="0"/>
                <w:szCs w:val="21"/>
              </w:rPr>
            </w:pPr>
            <w:r>
              <w:rPr>
                <w:rFonts w:ascii="Times New Roman" w:hAnsi="Times New Roman" w:eastAsia="黑体"/>
                <w:kern w:val="0"/>
                <w:szCs w:val="21"/>
              </w:rPr>
              <w:t>向选修课</w:t>
            </w:r>
          </w:p>
        </w:tc>
        <w:tc>
          <w:tcPr>
            <w:tcW w:w="965" w:type="dxa"/>
            <w:gridSpan w:val="2"/>
            <w:vMerge w:val="restart"/>
            <w:vAlign w:val="center"/>
          </w:tcPr>
          <w:p>
            <w:pPr>
              <w:snapToGrid w:val="0"/>
              <w:spacing w:line="260" w:lineRule="auto"/>
              <w:jc w:val="center"/>
              <w:rPr>
                <w:rFonts w:ascii="Times New Roman" w:hAnsi="Times New Roman"/>
              </w:rPr>
            </w:pPr>
            <w:r>
              <w:rPr>
                <w:rFonts w:ascii="Times New Roman" w:hAnsi="Times New Roman" w:eastAsia="黑体"/>
                <w:kern w:val="0"/>
                <w:szCs w:val="21"/>
              </w:rPr>
              <w:t>涉外法务方向</w:t>
            </w:r>
          </w:p>
        </w:tc>
        <w:tc>
          <w:tcPr>
            <w:tcW w:w="8293" w:type="dxa"/>
            <w:gridSpan w:val="11"/>
            <w:vAlign w:val="center"/>
          </w:tcPr>
          <w:p>
            <w:pPr>
              <w:snapToGrid w:val="0"/>
              <w:spacing w:line="260" w:lineRule="auto"/>
              <w:jc w:val="center"/>
              <w:rPr>
                <w:rFonts w:ascii="Times New Roman" w:hAnsi="Times New Roman" w:eastAsia="黑体"/>
                <w:b/>
                <w:szCs w:val="21"/>
              </w:rPr>
            </w:pPr>
            <w:r>
              <w:rPr>
                <w:rFonts w:ascii="Times New Roman" w:hAnsi="Times New Roman" w:eastAsia="黑体"/>
                <w:b/>
                <w:szCs w:val="21"/>
              </w:rPr>
              <w:t>涉外法务方向</w:t>
            </w:r>
          </w:p>
        </w:tc>
        <w:tc>
          <w:tcPr>
            <w:tcW w:w="422" w:type="dxa"/>
            <w:vAlign w:val="center"/>
          </w:tcPr>
          <w:p>
            <w:pPr>
              <w:snapToGrid w:val="0"/>
              <w:spacing w:line="260" w:lineRule="auto"/>
              <w:jc w:val="center"/>
              <w:rPr>
                <w:rFonts w:ascii="Times New Roman" w:hAnsi="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海商法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涉外民商事争议解决</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国际投资法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世贸组织法（英）</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LAW030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国际刑法学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国际经济法专题（英）</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restart"/>
            <w:vAlign w:val="center"/>
          </w:tcPr>
          <w:p>
            <w:pPr>
              <w:snapToGrid w:val="0"/>
              <w:spacing w:line="260" w:lineRule="auto"/>
              <w:jc w:val="center"/>
              <w:rPr>
                <w:rFonts w:ascii="Times New Roman" w:hAnsi="Times New Roman"/>
              </w:rPr>
            </w:pPr>
            <w:r>
              <w:rPr>
                <w:rFonts w:ascii="Times New Roman" w:hAnsi="Times New Roman" w:eastAsia="黑体"/>
                <w:kern w:val="0"/>
                <w:szCs w:val="21"/>
              </w:rPr>
              <w:t>司法实务方向</w:t>
            </w:r>
          </w:p>
        </w:tc>
        <w:tc>
          <w:tcPr>
            <w:tcW w:w="8293" w:type="dxa"/>
            <w:gridSpan w:val="11"/>
            <w:vAlign w:val="center"/>
          </w:tcPr>
          <w:p>
            <w:pPr>
              <w:snapToGrid w:val="0"/>
              <w:spacing w:line="260" w:lineRule="auto"/>
              <w:jc w:val="center"/>
              <w:rPr>
                <w:rFonts w:ascii="Times New Roman" w:hAnsi="Times New Roman" w:eastAsia="黑体"/>
                <w:b/>
                <w:szCs w:val="21"/>
              </w:rPr>
            </w:pPr>
            <w:r>
              <w:rPr>
                <w:rFonts w:ascii="Times New Roman" w:hAnsi="Times New Roman" w:eastAsia="黑体"/>
                <w:b/>
                <w:szCs w:val="21"/>
              </w:rPr>
              <w:t>司法实务方向</w:t>
            </w:r>
          </w:p>
        </w:tc>
        <w:tc>
          <w:tcPr>
            <w:tcW w:w="422" w:type="dxa"/>
            <w:vAlign w:val="center"/>
          </w:tcPr>
          <w:p>
            <w:pPr>
              <w:snapToGrid w:val="0"/>
              <w:spacing w:line="260" w:lineRule="auto"/>
              <w:jc w:val="center"/>
              <w:rPr>
                <w:rFonts w:ascii="Times New Roman" w:hAnsi="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LAW031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模拟法庭</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6</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26</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LAW020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证据法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LAW033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侵权责任法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LAW034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律师实务</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LAW035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刑事法综合实训</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18"/>
                <w:szCs w:val="18"/>
              </w:rPr>
            </w:pPr>
          </w:p>
        </w:tc>
        <w:tc>
          <w:tcPr>
            <w:tcW w:w="963"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LAW036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行政法综合实训</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restart"/>
            <w:vAlign w:val="center"/>
          </w:tcPr>
          <w:p>
            <w:pPr>
              <w:snapToGrid w:val="0"/>
              <w:spacing w:line="260" w:lineRule="auto"/>
              <w:jc w:val="center"/>
              <w:rPr>
                <w:rFonts w:ascii="Times New Roman" w:hAnsi="Times New Roman"/>
              </w:rPr>
            </w:pPr>
            <w:r>
              <w:rPr>
                <w:rFonts w:ascii="Times New Roman" w:hAnsi="Times New Roman" w:eastAsia="黑体"/>
                <w:kern w:val="0"/>
                <w:szCs w:val="21"/>
              </w:rPr>
              <w:t>公司法务方向</w:t>
            </w:r>
          </w:p>
        </w:tc>
        <w:tc>
          <w:tcPr>
            <w:tcW w:w="8293" w:type="dxa"/>
            <w:gridSpan w:val="11"/>
            <w:vAlign w:val="center"/>
          </w:tcPr>
          <w:p>
            <w:pPr>
              <w:snapToGrid w:val="0"/>
              <w:spacing w:line="260" w:lineRule="auto"/>
              <w:jc w:val="center"/>
              <w:rPr>
                <w:rFonts w:ascii="Times New Roman" w:hAnsi="Times New Roman"/>
                <w:b/>
                <w:sz w:val="28"/>
                <w:szCs w:val="28"/>
              </w:rPr>
            </w:pPr>
            <w:r>
              <w:rPr>
                <w:rFonts w:ascii="Times New Roman" w:hAnsi="Times New Roman" w:eastAsia="黑体"/>
                <w:b/>
                <w:szCs w:val="21"/>
              </w:rPr>
              <w:t>公司法务方向</w:t>
            </w:r>
          </w:p>
        </w:tc>
        <w:tc>
          <w:tcPr>
            <w:tcW w:w="422" w:type="dxa"/>
            <w:vAlign w:val="center"/>
          </w:tcPr>
          <w:p>
            <w:pPr>
              <w:snapToGrid w:val="0"/>
              <w:spacing w:line="260" w:lineRule="auto"/>
              <w:jc w:val="center"/>
              <w:rPr>
                <w:rFonts w:ascii="Times New Roman" w:hAnsi="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LAW037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证券法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LAW023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财税法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LAW038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破产法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LAW024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劳动与社会保障法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民商法综合实训</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金融法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258" w:type="dxa"/>
            <w:gridSpan w:val="13"/>
            <w:vAlign w:val="center"/>
          </w:tcPr>
          <w:p>
            <w:pPr>
              <w:snapToGrid w:val="0"/>
              <w:spacing w:line="260" w:lineRule="auto"/>
              <w:jc w:val="center"/>
              <w:rPr>
                <w:rFonts w:ascii="Times New Roman" w:hAnsi="Times New Roman"/>
                <w:sz w:val="18"/>
                <w:szCs w:val="18"/>
              </w:rPr>
            </w:pPr>
            <w:r>
              <w:rPr>
                <w:rFonts w:hint="eastAsia" w:ascii="Times New Roman" w:hAnsi="Times New Roman" w:eastAsia="黑体"/>
                <w:b/>
                <w:szCs w:val="21"/>
                <w:lang w:val="en-US" w:eastAsia="zh-CN"/>
              </w:rPr>
              <w:t xml:space="preserve">                 </w:t>
            </w:r>
            <w:r>
              <w:rPr>
                <w:rFonts w:ascii="Times New Roman" w:hAnsi="Times New Roman" w:eastAsia="黑体"/>
                <w:b/>
                <w:szCs w:val="21"/>
              </w:rPr>
              <w:t>数字法学方向</w:t>
            </w:r>
          </w:p>
        </w:tc>
        <w:tc>
          <w:tcPr>
            <w:tcW w:w="422" w:type="dxa"/>
            <w:vAlign w:val="center"/>
          </w:tcPr>
          <w:p>
            <w:pPr>
              <w:snapToGrid w:val="0"/>
              <w:spacing w:line="260" w:lineRule="auto"/>
              <w:jc w:val="center"/>
              <w:rPr>
                <w:rFonts w:ascii="Times New Roman" w:hAnsi="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restart"/>
            <w:vAlign w:val="center"/>
          </w:tcPr>
          <w:p>
            <w:pPr>
              <w:snapToGrid w:val="0"/>
              <w:spacing w:line="260" w:lineRule="auto"/>
              <w:jc w:val="center"/>
              <w:rPr>
                <w:rFonts w:ascii="Times New Roman" w:hAnsi="Times New Roman" w:eastAsia="黑体"/>
                <w:kern w:val="0"/>
                <w:szCs w:val="21"/>
              </w:rPr>
            </w:pPr>
          </w:p>
          <w:p>
            <w:pPr>
              <w:snapToGrid w:val="0"/>
              <w:spacing w:line="260" w:lineRule="auto"/>
              <w:jc w:val="center"/>
              <w:rPr>
                <w:rFonts w:ascii="Times New Roman" w:hAnsi="Times New Roman"/>
                <w:sz w:val="20"/>
              </w:rPr>
            </w:pPr>
            <w:r>
              <w:rPr>
                <w:rFonts w:ascii="Times New Roman" w:hAnsi="Times New Roman" w:eastAsia="黑体"/>
                <w:kern w:val="0"/>
                <w:szCs w:val="21"/>
              </w:rPr>
              <w:t>数字法学方向</w:t>
            </w:r>
          </w:p>
        </w:tc>
        <w:tc>
          <w:tcPr>
            <w:tcW w:w="963" w:type="dxa"/>
            <w:vAlign w:val="center"/>
          </w:tcPr>
          <w:p>
            <w:pPr>
              <w:jc w:val="center"/>
              <w:rPr>
                <w:rFonts w:ascii="Times New Roman" w:hAnsi="Times New Roman"/>
                <w:sz w:val="20"/>
              </w:rPr>
            </w:pPr>
            <w:r>
              <w:rPr>
                <w:rFonts w:ascii="Times New Roman" w:hAnsi="Times New Roman"/>
                <w:sz w:val="20"/>
              </w:rPr>
              <w:t>LAW108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数据法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LAW071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电子商务法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网络法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LAW109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电子证据法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LAW110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网络刑法学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IPR024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数字版权法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9597" w:type="dxa"/>
            <w:gridSpan w:val="14"/>
            <w:vAlign w:val="center"/>
          </w:tcPr>
          <w:p>
            <w:pPr>
              <w:snapToGrid w:val="0"/>
              <w:spacing w:line="260" w:lineRule="auto"/>
              <w:jc w:val="center"/>
              <w:rPr>
                <w:rFonts w:ascii="Times New Roman" w:hAnsi="Times New Roman"/>
                <w:b/>
                <w:sz w:val="28"/>
                <w:szCs w:val="28"/>
              </w:rPr>
            </w:pPr>
            <w:r>
              <w:rPr>
                <w:rFonts w:hint="eastAsia" w:ascii="Times New Roman" w:hAnsi="Times New Roman" w:eastAsia="黑体"/>
                <w:b/>
                <w:szCs w:val="21"/>
                <w:lang w:val="en-US" w:eastAsia="zh-CN"/>
              </w:rPr>
              <w:t xml:space="preserve">                       </w:t>
            </w:r>
            <w:bookmarkStart w:id="0" w:name="_GoBack"/>
            <w:bookmarkEnd w:id="0"/>
            <w:r>
              <w:rPr>
                <w:rFonts w:ascii="Times New Roman" w:hAnsi="Times New Roman" w:eastAsia="黑体"/>
                <w:b/>
                <w:szCs w:val="21"/>
              </w:rPr>
              <w:t>共同选修课</w:t>
            </w:r>
          </w:p>
        </w:tc>
        <w:tc>
          <w:tcPr>
            <w:tcW w:w="422" w:type="dxa"/>
            <w:vAlign w:val="center"/>
          </w:tcPr>
          <w:p>
            <w:pPr>
              <w:snapToGrid w:val="0"/>
              <w:spacing w:line="260" w:lineRule="auto"/>
              <w:jc w:val="center"/>
              <w:rPr>
                <w:rFonts w:ascii="Times New Roman" w:hAnsi="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restart"/>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restart"/>
            <w:vAlign w:val="center"/>
          </w:tcPr>
          <w:p>
            <w:pPr>
              <w:jc w:val="center"/>
              <w:rPr>
                <w:rFonts w:ascii="Times New Roman" w:hAnsi="Times New Roman"/>
              </w:rPr>
            </w:pPr>
            <w:r>
              <w:rPr>
                <w:rFonts w:ascii="Times New Roman" w:hAnsi="Times New Roman" w:eastAsia="黑体"/>
                <w:b/>
                <w:szCs w:val="21"/>
              </w:rPr>
              <w:t>共同选修课</w:t>
            </w:r>
          </w:p>
        </w:tc>
        <w:tc>
          <w:tcPr>
            <w:tcW w:w="963" w:type="dxa"/>
            <w:vAlign w:val="center"/>
          </w:tcPr>
          <w:p>
            <w:pPr>
              <w:jc w:val="center"/>
              <w:rPr>
                <w:rFonts w:ascii="Times New Roman" w:hAnsi="Times New Roman"/>
                <w:sz w:val="20"/>
              </w:rPr>
            </w:pPr>
            <w:r>
              <w:rPr>
                <w:rFonts w:ascii="Times New Roman" w:hAnsi="Times New Roman"/>
                <w:color w:val="333333"/>
                <w:sz w:val="18"/>
                <w:szCs w:val="18"/>
                <w:shd w:val="clear" w:color="auto" w:fill="FFFFFF"/>
              </w:rPr>
              <w:t>MAT013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大学数学（上）</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rPr>
            </w:pPr>
          </w:p>
        </w:tc>
        <w:tc>
          <w:tcPr>
            <w:tcW w:w="963" w:type="dxa"/>
            <w:vAlign w:val="center"/>
          </w:tcPr>
          <w:p>
            <w:pPr>
              <w:jc w:val="center"/>
              <w:rPr>
                <w:rFonts w:ascii="Times New Roman" w:hAnsi="Times New Roman"/>
                <w:sz w:val="20"/>
              </w:rPr>
            </w:pPr>
            <w:r>
              <w:rPr>
                <w:rFonts w:ascii="Times New Roman" w:hAnsi="Times New Roman"/>
                <w:color w:val="333333"/>
                <w:sz w:val="18"/>
                <w:szCs w:val="18"/>
                <w:shd w:val="clear" w:color="auto" w:fill="FFFFFF"/>
              </w:rPr>
              <w:t>MAT014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大学数学（下）</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48</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3</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rPr>
            </w:pPr>
          </w:p>
        </w:tc>
        <w:tc>
          <w:tcPr>
            <w:tcW w:w="963" w:type="dxa"/>
            <w:vAlign w:val="center"/>
          </w:tcPr>
          <w:p>
            <w:pPr>
              <w:jc w:val="center"/>
              <w:rPr>
                <w:rFonts w:ascii="Times New Roman" w:hAnsi="Times New Roman"/>
                <w:sz w:val="20"/>
              </w:rPr>
            </w:pPr>
            <w:r>
              <w:rPr>
                <w:rFonts w:ascii="Times New Roman" w:hAnsi="Times New Roman"/>
                <w:sz w:val="20"/>
              </w:rPr>
              <w:t>LAW115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诊所法律教育概述</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rPr>
            </w:pPr>
          </w:p>
        </w:tc>
        <w:tc>
          <w:tcPr>
            <w:tcW w:w="963" w:type="dxa"/>
            <w:vAlign w:val="center"/>
          </w:tcPr>
          <w:p>
            <w:pPr>
              <w:jc w:val="center"/>
              <w:rPr>
                <w:rFonts w:ascii="Times New Roman" w:hAnsi="Times New Roman"/>
                <w:sz w:val="20"/>
              </w:rPr>
            </w:pPr>
            <w:r>
              <w:rPr>
                <w:rFonts w:ascii="Times New Roman" w:hAnsi="Times New Roman"/>
                <w:sz w:val="20"/>
              </w:rPr>
              <w:t>LAW072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西方法律思想史</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LAW073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商务谈判（英）</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LAW111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立法学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LAW075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经济刑法学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LAW076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刑事侦查学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LAW077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宪法事例研究</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shd w:val="clear" w:color="auto" w:fill="FFFFFF" w:themeFill="background1"/>
            <w:vAlign w:val="center"/>
          </w:tcPr>
          <w:p>
            <w:pPr>
              <w:snapToGrid w:val="0"/>
              <w:spacing w:line="260" w:lineRule="exact"/>
              <w:jc w:val="center"/>
              <w:rPr>
                <w:rFonts w:ascii="Times New Roman" w:hAnsi="Times New Roman"/>
                <w:sz w:val="18"/>
                <w:szCs w:val="18"/>
              </w:rPr>
            </w:pPr>
          </w:p>
        </w:tc>
        <w:tc>
          <w:tcPr>
            <w:tcW w:w="963"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IPT008</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当代世界经济与政治</w:t>
            </w:r>
          </w:p>
        </w:tc>
        <w:tc>
          <w:tcPr>
            <w:tcW w:w="720"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shd w:val="clear" w:color="auto" w:fill="FFFFFF" w:themeFill="background1"/>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shd w:val="clear" w:color="auto" w:fill="FFFFFF" w:themeFill="background1"/>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549" w:type="dxa"/>
            <w:shd w:val="clear" w:color="auto" w:fill="FFFFFF" w:themeFill="background1"/>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shd w:val="clear" w:color="auto" w:fill="FFFFFF" w:themeFill="background1"/>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LAW079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犯罪学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LAW057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法学论文写作</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LAW112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保险法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LAW032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合同法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LAW039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票据法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LAW078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检察学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国际商法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仲裁法学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法律英语（英）</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犯罪心理学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法律文书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LAW098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英美公司和商法（英）</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IPR020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娱乐法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LAW113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英美契约法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0</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市场监管法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国际金融与税收法律制度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涉外仲裁实务</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国际知识产权法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LAW053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法学方法论</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LAW055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法律逻辑学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LAW056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法律社会学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LAW059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竞争法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LAW065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监察法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LAW066</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版权法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LAW068</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行政判例研究</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政府采购法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hint="default" w:ascii="Times New Roman" w:hAnsi="Times New Roman" w:eastAsia="宋体"/>
                <w:sz w:val="18"/>
                <w:szCs w:val="18"/>
                <w:lang w:val="en-US" w:eastAsia="zh-CN"/>
              </w:rPr>
            </w:pPr>
            <w:r>
              <w:rPr>
                <w:rFonts w:ascii="Times New Roman" w:hAnsi="Times New Roman"/>
                <w:sz w:val="18"/>
                <w:szCs w:val="18"/>
              </w:rPr>
              <w:t>2</w:t>
            </w:r>
            <w:r>
              <w:rPr>
                <w:rFonts w:hint="eastAsia" w:ascii="Times New Roman" w:hAnsi="Times New Roman"/>
                <w:sz w:val="18"/>
                <w:szCs w:val="18"/>
                <w:lang w:val="en-US" w:eastAsia="zh-CN"/>
              </w:rPr>
              <w:t>.0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国家赔偿法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LAW090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亲属法与继承法学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LAW092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行政程序法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tcBorders>
              <w:top w:val="single" w:color="auto" w:sz="4" w:space="0"/>
            </w:tcBorders>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LAW093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外国行政法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LAW095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法医学</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LAW082</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调解技能与实践</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12</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LAW067</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公务员法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LAW069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体育法</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514"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18" w:type="dxa"/>
            <w:vMerge w:val="continue"/>
            <w:vAlign w:val="center"/>
          </w:tcPr>
          <w:p>
            <w:pPr>
              <w:snapToGrid w:val="0"/>
              <w:spacing w:line="260" w:lineRule="exact"/>
              <w:jc w:val="center"/>
              <w:rPr>
                <w:rFonts w:ascii="Times New Roman" w:hAnsi="Times New Roman" w:eastAsia="方正大标宋简体"/>
                <w:sz w:val="18"/>
                <w:szCs w:val="18"/>
              </w:rPr>
            </w:pPr>
          </w:p>
        </w:tc>
        <w:tc>
          <w:tcPr>
            <w:tcW w:w="339" w:type="dxa"/>
            <w:vMerge w:val="continue"/>
            <w:vAlign w:val="center"/>
          </w:tcPr>
          <w:p>
            <w:pPr>
              <w:snapToGrid w:val="0"/>
              <w:spacing w:line="260" w:lineRule="exact"/>
              <w:jc w:val="center"/>
              <w:rPr>
                <w:rFonts w:ascii="Times New Roman" w:hAnsi="Times New Roman" w:eastAsia="方正大标宋简体"/>
                <w:sz w:val="18"/>
                <w:szCs w:val="18"/>
              </w:rPr>
            </w:pPr>
          </w:p>
        </w:tc>
        <w:tc>
          <w:tcPr>
            <w:tcW w:w="965" w:type="dxa"/>
            <w:gridSpan w:val="2"/>
            <w:vMerge w:val="continue"/>
            <w:vAlign w:val="center"/>
          </w:tcPr>
          <w:p>
            <w:pPr>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LAW045</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涉外合同写作</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jc w:val="center"/>
              <w:rPr>
                <w:rFonts w:ascii="Times New Roman" w:hAnsi="Times New Roman"/>
              </w:rPr>
            </w:pPr>
            <w:r>
              <w:rPr>
                <w:rFonts w:ascii="Times New Roman" w:hAnsi="Times New Roman"/>
                <w:sz w:val="18"/>
                <w:szCs w:val="18"/>
              </w:rPr>
              <w:t>2.0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32</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454" w:type="dxa"/>
            <w:gridSpan w:val="6"/>
            <w:vMerge w:val="restart"/>
            <w:vAlign w:val="center"/>
          </w:tcPr>
          <w:p>
            <w:pPr>
              <w:snapToGrid w:val="0"/>
              <w:spacing w:line="260" w:lineRule="exact"/>
              <w:jc w:val="center"/>
              <w:rPr>
                <w:rFonts w:ascii="Times New Roman" w:hAnsi="Times New Roman"/>
                <w:sz w:val="20"/>
              </w:rPr>
            </w:pPr>
            <w:r>
              <w:rPr>
                <w:rFonts w:ascii="Times New Roman" w:hAnsi="Times New Roman" w:eastAsia="黑体"/>
                <w:kern w:val="0"/>
                <w:szCs w:val="21"/>
              </w:rPr>
              <w:t>实践教学</w:t>
            </w:r>
          </w:p>
        </w:tc>
        <w:tc>
          <w:tcPr>
            <w:tcW w:w="963" w:type="dxa"/>
            <w:vAlign w:val="center"/>
          </w:tcPr>
          <w:p>
            <w:pPr>
              <w:snapToGrid w:val="0"/>
              <w:spacing w:line="260" w:lineRule="exact"/>
              <w:jc w:val="center"/>
              <w:rPr>
                <w:rFonts w:ascii="Times New Roman" w:hAnsi="Times New Roman"/>
                <w:sz w:val="20"/>
              </w:rPr>
            </w:pPr>
            <w:r>
              <w:rPr>
                <w:rFonts w:ascii="Times New Roman" w:hAnsi="Times New Roman"/>
                <w:sz w:val="20"/>
              </w:rPr>
              <w:t>MPE002</w:t>
            </w:r>
          </w:p>
        </w:tc>
        <w:tc>
          <w:tcPr>
            <w:tcW w:w="2450" w:type="dxa"/>
            <w:shd w:val="clear" w:color="auto" w:fill="FFFFFF" w:themeFill="background1"/>
            <w:vAlign w:val="center"/>
          </w:tcPr>
          <w:p>
            <w:pPr>
              <w:snapToGrid w:val="0"/>
              <w:spacing w:line="260" w:lineRule="exact"/>
              <w:rPr>
                <w:rFonts w:ascii="Times New Roman" w:hAnsi="Times New Roman"/>
                <w:sz w:val="18"/>
                <w:szCs w:val="18"/>
              </w:rPr>
            </w:pPr>
            <w:r>
              <w:rPr>
                <w:rFonts w:ascii="Times New Roman" w:hAnsi="Times New Roman"/>
                <w:sz w:val="18"/>
                <w:szCs w:val="18"/>
              </w:rPr>
              <w:t>军事技能</w:t>
            </w:r>
          </w:p>
        </w:tc>
        <w:tc>
          <w:tcPr>
            <w:tcW w:w="720" w:type="dxa"/>
            <w:tcBorders>
              <w:bottom w:val="single" w:color="auto" w:sz="6"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一1</w:t>
            </w:r>
          </w:p>
        </w:tc>
        <w:tc>
          <w:tcPr>
            <w:tcW w:w="626" w:type="dxa"/>
            <w:tcBorders>
              <w:bottom w:val="single" w:color="auto" w:sz="6"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2.0</w:t>
            </w:r>
          </w:p>
        </w:tc>
        <w:tc>
          <w:tcPr>
            <w:tcW w:w="532" w:type="dxa"/>
            <w:tcBorders>
              <w:bottom w:val="single" w:color="auto" w:sz="6"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tcBorders>
              <w:bottom w:val="single" w:color="auto" w:sz="6"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tcBorders>
              <w:bottom w:val="single" w:color="auto" w:sz="6"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112</w:t>
            </w:r>
          </w:p>
        </w:tc>
        <w:tc>
          <w:tcPr>
            <w:tcW w:w="557" w:type="dxa"/>
            <w:tcBorders>
              <w:bottom w:val="single" w:color="auto" w:sz="6" w:space="0"/>
            </w:tcBorders>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tcBorders>
              <w:bottom w:val="single" w:color="auto" w:sz="6" w:space="0"/>
            </w:tcBorders>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2</w:t>
            </w:r>
          </w:p>
        </w:tc>
        <w:tc>
          <w:tcPr>
            <w:tcW w:w="549" w:type="dxa"/>
            <w:tcBorders>
              <w:bottom w:val="single" w:color="auto" w:sz="6" w:space="0"/>
            </w:tcBorders>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tcBorders>
              <w:bottom w:val="single" w:color="auto" w:sz="6" w:space="0"/>
            </w:tcBorders>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tcBorders>
              <w:bottom w:val="single" w:color="auto" w:sz="6" w:space="0"/>
            </w:tcBorders>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454" w:type="dxa"/>
            <w:gridSpan w:val="6"/>
            <w:vMerge w:val="continue"/>
            <w:vAlign w:val="center"/>
          </w:tcPr>
          <w:p>
            <w:pPr>
              <w:snapToGrid w:val="0"/>
              <w:spacing w:line="260" w:lineRule="exact"/>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20"/>
              </w:rPr>
            </w:pPr>
            <w:r>
              <w:rPr>
                <w:rFonts w:ascii="Times New Roman" w:hAnsi="Times New Roman"/>
                <w:sz w:val="20"/>
              </w:rPr>
              <w:t>DAE003</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艺术实践</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二1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454" w:type="dxa"/>
            <w:gridSpan w:val="6"/>
            <w:vMerge w:val="continue"/>
            <w:vAlign w:val="center"/>
          </w:tcPr>
          <w:p>
            <w:pPr>
              <w:snapToGrid w:val="0"/>
              <w:spacing w:line="260" w:lineRule="exact"/>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20"/>
              </w:rPr>
            </w:pPr>
            <w:r>
              <w:rPr>
                <w:rFonts w:ascii="Times New Roman" w:hAnsi="Times New Roman"/>
                <w:sz w:val="20"/>
              </w:rPr>
              <w:t>PRA001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创新与创业</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三2</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454" w:type="dxa"/>
            <w:gridSpan w:val="6"/>
            <w:vMerge w:val="continue"/>
            <w:vAlign w:val="center"/>
          </w:tcPr>
          <w:p>
            <w:pPr>
              <w:snapToGrid w:val="0"/>
              <w:spacing w:line="260" w:lineRule="exact"/>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20"/>
              </w:rPr>
            </w:pPr>
            <w:r>
              <w:rPr>
                <w:rFonts w:ascii="Times New Roman" w:hAnsi="Times New Roman"/>
                <w:sz w:val="20"/>
              </w:rPr>
              <w:t>FLG059</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跨文化实践</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0.5</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2</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454" w:type="dxa"/>
            <w:gridSpan w:val="6"/>
            <w:vMerge w:val="continue"/>
            <w:vAlign w:val="center"/>
          </w:tcPr>
          <w:p>
            <w:pPr>
              <w:snapToGrid w:val="0"/>
              <w:spacing w:line="260" w:lineRule="exact"/>
              <w:jc w:val="center"/>
              <w:rPr>
                <w:rFonts w:ascii="Times New Roman" w:hAnsi="Times New Roman"/>
                <w:sz w:val="20"/>
              </w:rPr>
            </w:pPr>
          </w:p>
        </w:tc>
        <w:tc>
          <w:tcPr>
            <w:tcW w:w="963" w:type="dxa"/>
            <w:vAlign w:val="center"/>
          </w:tcPr>
          <w:p>
            <w:pPr>
              <w:jc w:val="center"/>
              <w:rPr>
                <w:rFonts w:ascii="Times New Roman" w:hAnsi="Times New Roman"/>
                <w:sz w:val="20"/>
              </w:rPr>
            </w:pPr>
            <w:r>
              <w:rPr>
                <w:rFonts w:ascii="Times New Roman" w:hAnsi="Times New Roman"/>
                <w:sz w:val="20"/>
              </w:rPr>
              <w:t>LAW114</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法制宣传教育实践</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四1</w:t>
            </w:r>
          </w:p>
        </w:tc>
        <w:tc>
          <w:tcPr>
            <w:tcW w:w="626" w:type="dxa"/>
            <w:vAlign w:val="center"/>
          </w:tcPr>
          <w:p>
            <w:pPr>
              <w:snapToGrid w:val="0"/>
              <w:spacing w:line="260" w:lineRule="exact"/>
              <w:jc w:val="center"/>
              <w:rPr>
                <w:rFonts w:ascii="Times New Roman" w:hAnsi="Times New Roman"/>
                <w:color w:val="FF0000"/>
                <w:sz w:val="18"/>
                <w:szCs w:val="18"/>
              </w:rPr>
            </w:pPr>
            <w:r>
              <w:rPr>
                <w:rFonts w:ascii="Times New Roman" w:hAnsi="Times New Roman"/>
                <w:sz w:val="18"/>
                <w:szCs w:val="18"/>
              </w:rPr>
              <w:t>1.5</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8</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16</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454" w:type="dxa"/>
            <w:gridSpan w:val="6"/>
            <w:vMerge w:val="continue"/>
            <w:vAlign w:val="center"/>
          </w:tcPr>
          <w:p>
            <w:pPr>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20"/>
              </w:rPr>
            </w:pPr>
            <w:r>
              <w:rPr>
                <w:rFonts w:ascii="Times New Roman" w:hAnsi="Times New Roman"/>
                <w:sz w:val="20"/>
              </w:rPr>
              <w:t>LAW100</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毕业论文</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四2</w:t>
            </w:r>
          </w:p>
        </w:tc>
        <w:tc>
          <w:tcPr>
            <w:tcW w:w="626" w:type="dxa"/>
            <w:vAlign w:val="center"/>
          </w:tcPr>
          <w:p>
            <w:pPr>
              <w:snapToGrid w:val="0"/>
              <w:spacing w:line="260" w:lineRule="exact"/>
              <w:jc w:val="center"/>
              <w:rPr>
                <w:rFonts w:ascii="Times New Roman" w:hAnsi="Times New Roman"/>
                <w:b/>
                <w:sz w:val="18"/>
                <w:szCs w:val="18"/>
              </w:rPr>
            </w:pPr>
            <w:r>
              <w:rPr>
                <w:rFonts w:ascii="Times New Roman" w:hAnsi="Times New Roman"/>
                <w:sz w:val="18"/>
                <w:szCs w:val="18"/>
              </w:rPr>
              <w:t>8.0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160</w:t>
            </w:r>
          </w:p>
        </w:tc>
        <w:tc>
          <w:tcPr>
            <w:tcW w:w="55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16</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是</w:t>
            </w:r>
          </w:p>
        </w:tc>
        <w:tc>
          <w:tcPr>
            <w:tcW w:w="422" w:type="dxa"/>
            <w:vAlign w:val="center"/>
          </w:tcPr>
          <w:p>
            <w:pPr>
              <w:snapToGrid w:val="0"/>
              <w:spacing w:line="260"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 w:hRule="atLeast"/>
          <w:jc w:val="center"/>
        </w:trPr>
        <w:tc>
          <w:tcPr>
            <w:tcW w:w="2454" w:type="dxa"/>
            <w:gridSpan w:val="6"/>
            <w:vMerge w:val="continue"/>
            <w:vAlign w:val="center"/>
          </w:tcPr>
          <w:p>
            <w:pPr>
              <w:snapToGrid w:val="0"/>
              <w:spacing w:line="260" w:lineRule="exact"/>
              <w:jc w:val="center"/>
              <w:rPr>
                <w:rFonts w:ascii="Times New Roman" w:hAnsi="Times New Roman"/>
                <w:sz w:val="20"/>
              </w:rPr>
            </w:pPr>
          </w:p>
        </w:tc>
        <w:tc>
          <w:tcPr>
            <w:tcW w:w="963" w:type="dxa"/>
            <w:vAlign w:val="center"/>
          </w:tcPr>
          <w:p>
            <w:pPr>
              <w:snapToGrid w:val="0"/>
              <w:spacing w:line="260" w:lineRule="exact"/>
              <w:jc w:val="center"/>
              <w:rPr>
                <w:rFonts w:ascii="Times New Roman" w:hAnsi="Times New Roman"/>
                <w:sz w:val="20"/>
              </w:rPr>
            </w:pPr>
            <w:r>
              <w:rPr>
                <w:rFonts w:ascii="Times New Roman" w:hAnsi="Times New Roman"/>
                <w:sz w:val="20"/>
              </w:rPr>
              <w:t>LAW101</w:t>
            </w:r>
          </w:p>
        </w:tc>
        <w:tc>
          <w:tcPr>
            <w:tcW w:w="2450" w:type="dxa"/>
            <w:vAlign w:val="center"/>
          </w:tcPr>
          <w:p>
            <w:pPr>
              <w:snapToGrid w:val="0"/>
              <w:spacing w:line="260" w:lineRule="exact"/>
              <w:rPr>
                <w:rFonts w:ascii="Times New Roman" w:hAnsi="Times New Roman"/>
                <w:sz w:val="18"/>
                <w:szCs w:val="18"/>
              </w:rPr>
            </w:pPr>
            <w:r>
              <w:rPr>
                <w:rFonts w:ascii="Times New Roman" w:hAnsi="Times New Roman"/>
                <w:sz w:val="18"/>
                <w:szCs w:val="18"/>
              </w:rPr>
              <w:t>毕业实习</w:t>
            </w:r>
          </w:p>
        </w:tc>
        <w:tc>
          <w:tcPr>
            <w:tcW w:w="720"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四2</w:t>
            </w:r>
          </w:p>
        </w:tc>
        <w:tc>
          <w:tcPr>
            <w:tcW w:w="626" w:type="dxa"/>
            <w:vAlign w:val="center"/>
          </w:tcPr>
          <w:p>
            <w:pPr>
              <w:snapToGrid w:val="0"/>
              <w:spacing w:line="260" w:lineRule="exact"/>
              <w:jc w:val="center"/>
              <w:rPr>
                <w:rFonts w:ascii="Times New Roman" w:hAnsi="Times New Roman"/>
                <w:sz w:val="18"/>
                <w:szCs w:val="18"/>
              </w:rPr>
            </w:pPr>
            <w:r>
              <w:rPr>
                <w:rFonts w:hint="eastAsia" w:ascii="Times New Roman" w:hAnsi="Times New Roman"/>
                <w:sz w:val="18"/>
                <w:szCs w:val="18"/>
                <w:lang w:val="en-US" w:eastAsia="zh-CN"/>
              </w:rPr>
              <w:t>4</w:t>
            </w:r>
            <w:r>
              <w:rPr>
                <w:rFonts w:ascii="Times New Roman" w:hAnsi="Times New Roman"/>
                <w:sz w:val="18"/>
                <w:szCs w:val="18"/>
              </w:rPr>
              <w:t>.0</w:t>
            </w:r>
          </w:p>
        </w:tc>
        <w:tc>
          <w:tcPr>
            <w:tcW w:w="532"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8" w:type="dxa"/>
            <w:vAlign w:val="center"/>
          </w:tcPr>
          <w:p>
            <w:pPr>
              <w:snapToGrid w:val="0"/>
              <w:spacing w:line="260" w:lineRule="exact"/>
              <w:jc w:val="center"/>
              <w:rPr>
                <w:rFonts w:ascii="Times New Roman" w:hAnsi="Times New Roman"/>
                <w:sz w:val="18"/>
                <w:szCs w:val="18"/>
              </w:rPr>
            </w:pPr>
            <w:r>
              <w:rPr>
                <w:rFonts w:ascii="Times New Roman" w:hAnsi="Times New Roman"/>
                <w:sz w:val="18"/>
                <w:szCs w:val="18"/>
              </w:rPr>
              <w:t>0</w:t>
            </w:r>
          </w:p>
        </w:tc>
        <w:tc>
          <w:tcPr>
            <w:tcW w:w="489" w:type="dxa"/>
            <w:vAlign w:val="center"/>
          </w:tcPr>
          <w:p>
            <w:pPr>
              <w:snapToGrid w:val="0"/>
              <w:spacing w:line="260" w:lineRule="exact"/>
              <w:jc w:val="center"/>
              <w:rPr>
                <w:rFonts w:ascii="Times New Roman" w:hAnsi="Times New Roman"/>
                <w:b/>
                <w:sz w:val="18"/>
                <w:szCs w:val="18"/>
              </w:rPr>
            </w:pPr>
            <w:r>
              <w:rPr>
                <w:rFonts w:ascii="Times New Roman" w:hAnsi="Times New Roman"/>
                <w:sz w:val="18"/>
                <w:szCs w:val="18"/>
              </w:rPr>
              <w:t>160</w:t>
            </w:r>
          </w:p>
        </w:tc>
        <w:tc>
          <w:tcPr>
            <w:tcW w:w="557"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0</w:t>
            </w:r>
          </w:p>
        </w:tc>
        <w:tc>
          <w:tcPr>
            <w:tcW w:w="497" w:type="dxa"/>
            <w:vAlign w:val="center"/>
          </w:tcPr>
          <w:p>
            <w:pPr>
              <w:snapToGrid w:val="0"/>
              <w:spacing w:line="260" w:lineRule="auto"/>
              <w:jc w:val="center"/>
              <w:rPr>
                <w:rFonts w:ascii="Times New Roman" w:hAnsi="Times New Roman"/>
              </w:rPr>
            </w:pPr>
            <w:r>
              <w:rPr>
                <w:rFonts w:ascii="Times New Roman" w:hAnsi="Times New Roman"/>
                <w:sz w:val="18"/>
                <w:szCs w:val="18"/>
              </w:rPr>
              <w:t>16</w:t>
            </w:r>
          </w:p>
        </w:tc>
        <w:tc>
          <w:tcPr>
            <w:tcW w:w="549"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r>
              <w:rPr>
                <w:rFonts w:ascii="Times New Roman" w:hAnsi="Times New Roman"/>
                <w:sz w:val="18"/>
                <w:szCs w:val="18"/>
              </w:rPr>
              <w:t>否</w:t>
            </w:r>
          </w:p>
        </w:tc>
        <w:tc>
          <w:tcPr>
            <w:tcW w:w="422" w:type="dxa"/>
            <w:vAlign w:val="center"/>
          </w:tcPr>
          <w:p>
            <w:pPr>
              <w:snapToGrid w:val="0"/>
              <w:spacing w:line="260" w:lineRule="auto"/>
              <w:jc w:val="center"/>
              <w:rPr>
                <w:rFonts w:ascii="Times New Roman" w:hAnsi="Times New Roman"/>
                <w:sz w:val="18"/>
                <w:szCs w:val="18"/>
              </w:rPr>
            </w:pPr>
          </w:p>
        </w:tc>
      </w:tr>
    </w:tbl>
    <w:p>
      <w:pPr>
        <w:rPr>
          <w:rFonts w:ascii="Times New Roman" w:hAnsi="Times New Roman"/>
        </w:rPr>
      </w:pPr>
      <w:r>
        <w:rPr>
          <w:rFonts w:ascii="Times New Roman" w:hAnsi="Times New Roman"/>
          <w:bCs/>
          <w:szCs w:val="21"/>
        </w:rPr>
        <w:t>注：特殊课程可在备注栏里备注，“数字+”课程备注为“数”，企业、政府和机构等合作课程备注为“合”，双语课程备注为“双”。</w:t>
      </w:r>
    </w:p>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0C9259"/>
    <w:multiLevelType w:val="singleLevel"/>
    <w:tmpl w:val="E50C9259"/>
    <w:lvl w:ilvl="0" w:tentative="0">
      <w:start w:val="5"/>
      <w:numFmt w:val="chineseCounting"/>
      <w:suff w:val="nothing"/>
      <w:lvlText w:val="%1、"/>
      <w:lvlJc w:val="left"/>
      <w:rPr>
        <w:rFonts w:hint="eastAsia"/>
      </w:rPr>
    </w:lvl>
  </w:abstractNum>
  <w:abstractNum w:abstractNumId="1">
    <w:nsid w:val="112F86A5"/>
    <w:multiLevelType w:val="singleLevel"/>
    <w:tmpl w:val="112F86A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NzQ4ZWFiZmQ4NTRhOWRkZTk3YTMwMjlmMmZhYmUifQ=="/>
  </w:docVars>
  <w:rsids>
    <w:rsidRoot w:val="04AE3BA1"/>
    <w:rsid w:val="00067507"/>
    <w:rsid w:val="00187E5F"/>
    <w:rsid w:val="002B65A6"/>
    <w:rsid w:val="00577916"/>
    <w:rsid w:val="00583A24"/>
    <w:rsid w:val="005E7CBD"/>
    <w:rsid w:val="007F65DA"/>
    <w:rsid w:val="008F0D8C"/>
    <w:rsid w:val="00A67B28"/>
    <w:rsid w:val="00B25CE7"/>
    <w:rsid w:val="00E043CA"/>
    <w:rsid w:val="00F14B8F"/>
    <w:rsid w:val="00F15CB9"/>
    <w:rsid w:val="00FB315A"/>
    <w:rsid w:val="04AE3BA1"/>
    <w:rsid w:val="04FC3EC5"/>
    <w:rsid w:val="0D2070E4"/>
    <w:rsid w:val="0FBB0301"/>
    <w:rsid w:val="102D2243"/>
    <w:rsid w:val="14694157"/>
    <w:rsid w:val="1C31325D"/>
    <w:rsid w:val="1F811C64"/>
    <w:rsid w:val="28C33FF0"/>
    <w:rsid w:val="2D700D34"/>
    <w:rsid w:val="30B369AA"/>
    <w:rsid w:val="37FE5769"/>
    <w:rsid w:val="3C236125"/>
    <w:rsid w:val="448434D9"/>
    <w:rsid w:val="45806396"/>
    <w:rsid w:val="45BF2804"/>
    <w:rsid w:val="4B447E66"/>
    <w:rsid w:val="4B5E0F27"/>
    <w:rsid w:val="5AC769CD"/>
    <w:rsid w:val="5C171F4C"/>
    <w:rsid w:val="5C9E0E68"/>
    <w:rsid w:val="634A366B"/>
    <w:rsid w:val="63EE6769"/>
    <w:rsid w:val="676725CE"/>
    <w:rsid w:val="68011658"/>
    <w:rsid w:val="6B7C6660"/>
    <w:rsid w:val="70F33611"/>
    <w:rsid w:val="74D56DEF"/>
    <w:rsid w:val="75DB1FFB"/>
    <w:rsid w:val="7742600D"/>
    <w:rsid w:val="7B373A41"/>
    <w:rsid w:val="7C920181"/>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宋体"/>
    </w:r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qFormat/>
    <w:uiPriority w:val="0"/>
    <w:pPr>
      <w:ind w:firstLine="420" w:firstLineChars="200"/>
    </w:pPr>
  </w:style>
  <w:style w:type="paragraph" w:styleId="10">
    <w:name w:val="List Paragraph"/>
    <w:basedOn w:val="1"/>
    <w:qFormat/>
    <w:uiPriority w:val="0"/>
    <w:pPr>
      <w:ind w:firstLine="420" w:firstLineChars="200"/>
    </w:pPr>
    <w:rPr>
      <w:rFonts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13</Pages>
  <Words>1930</Words>
  <Characters>11002</Characters>
  <Lines>91</Lines>
  <Paragraphs>25</Paragraphs>
  <TotalTime>1</TotalTime>
  <ScaleCrop>false</ScaleCrop>
  <LinksUpToDate>false</LinksUpToDate>
  <CharactersWithSpaces>12907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2023-06-09T07:12:00Z</dcterms:created>
  <dc:creator>昨天还年轻</dc:creator>
  <cp:lastModifiedBy>昨天还年轻</cp:lastModifiedBy>
  <dcterms:modified xsi:type="dcterms:W3CDTF">2023-08-05T12:30:11Z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EC0D1BF9F9DB4095B6D0C523EFB04BF9_11</vt:lpwstr>
  </property>
</Properties>
</file>